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2AC0" w14:textId="0AE7098D" w:rsidR="00020F17" w:rsidRDefault="008F2EC9" w:rsidP="00020F17">
      <w:pPr>
        <w:jc w:val="right"/>
      </w:pPr>
      <w:bookmarkStart w:id="0" w:name="_Hlk87433389"/>
      <w:r w:rsidRPr="002D3C10">
        <w:t xml:space="preserve">Konstantynów Łódzki, dn. </w:t>
      </w:r>
      <w:r>
        <w:t>13</w:t>
      </w:r>
      <w:r w:rsidRPr="002D3C10">
        <w:t xml:space="preserve"> </w:t>
      </w:r>
      <w:r>
        <w:t>lutego 2023</w:t>
      </w:r>
      <w:r w:rsidRPr="002D3C10">
        <w:t xml:space="preserve"> r.</w:t>
      </w:r>
    </w:p>
    <w:p w14:paraId="5C6623BD" w14:textId="77777777" w:rsidR="008F2EC9" w:rsidRPr="002D3C10" w:rsidRDefault="008F2EC9" w:rsidP="00020F17">
      <w:pPr>
        <w:jc w:val="right"/>
      </w:pPr>
    </w:p>
    <w:p w14:paraId="67DFF072" w14:textId="647B21FA" w:rsidR="009F40FC" w:rsidRPr="0009338E" w:rsidRDefault="009F40FC" w:rsidP="009F40FC">
      <w:pPr>
        <w:pStyle w:val="Tekstpodstawowywcity"/>
        <w:ind w:firstLine="0"/>
        <w:rPr>
          <w:rFonts w:eastAsiaTheme="minorHAnsi"/>
          <w:lang w:eastAsia="en-US"/>
        </w:rPr>
      </w:pPr>
      <w:bookmarkStart w:id="1" w:name="_Hlk80175820"/>
      <w:bookmarkStart w:id="2" w:name="_Hlk95215037"/>
      <w:bookmarkEnd w:id="0"/>
      <w:r>
        <w:rPr>
          <w:rFonts w:eastAsiaTheme="minorHAnsi"/>
          <w:lang w:eastAsia="en-US"/>
        </w:rPr>
        <w:t>OŚ</w:t>
      </w:r>
      <w:r w:rsidRPr="00731056">
        <w:rPr>
          <w:rFonts w:eastAsiaTheme="minorHAnsi"/>
          <w:lang w:eastAsia="en-US"/>
        </w:rPr>
        <w:t>.6220.</w:t>
      </w:r>
      <w:r>
        <w:rPr>
          <w:rFonts w:eastAsiaTheme="minorHAnsi"/>
          <w:lang w:eastAsia="en-US"/>
        </w:rPr>
        <w:t>37-17</w:t>
      </w:r>
      <w:r>
        <w:rPr>
          <w:rFonts w:eastAsiaTheme="minorHAnsi"/>
          <w:lang w:eastAsia="en-US"/>
        </w:rPr>
        <w:t>-1</w:t>
      </w:r>
      <w:r>
        <w:rPr>
          <w:rFonts w:eastAsiaTheme="minorHAnsi"/>
          <w:lang w:eastAsia="en-US"/>
        </w:rPr>
        <w:t>.2022.WK</w:t>
      </w:r>
      <w:bookmarkEnd w:id="1"/>
    </w:p>
    <w:bookmarkEnd w:id="2"/>
    <w:p w14:paraId="731D4BF7" w14:textId="746AE8B7" w:rsidR="00CD580F" w:rsidRDefault="007A6B17" w:rsidP="00007DBB">
      <w:pPr>
        <w:rPr>
          <w:b/>
          <w:bCs/>
          <w:lang w:val="de-DE"/>
        </w:rPr>
      </w:pPr>
      <w:r>
        <w:rPr>
          <w:b/>
          <w:bCs/>
        </w:rPr>
        <w:t xml:space="preserve">Załącznik do decyzji nr </w:t>
      </w:r>
      <w:r w:rsidR="009F40FC" w:rsidRPr="009F40FC">
        <w:rPr>
          <w:b/>
          <w:bCs/>
        </w:rPr>
        <w:t>OŚ.6220.37-17.2022.WK</w:t>
      </w:r>
    </w:p>
    <w:p w14:paraId="45F83991" w14:textId="77777777" w:rsidR="00CD580F" w:rsidRDefault="00CD580F" w:rsidP="00B95855">
      <w:pPr>
        <w:rPr>
          <w:b/>
        </w:rPr>
      </w:pPr>
    </w:p>
    <w:p w14:paraId="5EC54CCF" w14:textId="12FABEBC" w:rsidR="00CD580F" w:rsidRDefault="007A6B17" w:rsidP="00343280">
      <w:pPr>
        <w:jc w:val="both"/>
        <w:rPr>
          <w:b/>
        </w:rPr>
      </w:pPr>
      <w:r>
        <w:rPr>
          <w:b/>
        </w:rPr>
        <w:t xml:space="preserve">Charakterystyka planowanego przedsięwzięcia </w:t>
      </w:r>
      <w:r w:rsidR="00343280">
        <w:rPr>
          <w:b/>
        </w:rPr>
        <w:t xml:space="preserve">zgodnie z art. 82 ust. 3 ustawy </w:t>
      </w:r>
      <w:r>
        <w:rPr>
          <w:b/>
        </w:rPr>
        <w:t xml:space="preserve">o udostępnianiu informacji o środowisku i jego ochronie, udziale społeczeństwa w ochronie środowiska oraz o ocenach oddziaływania na środowisko </w:t>
      </w:r>
      <w:r w:rsidR="002444AC" w:rsidRPr="002444AC">
        <w:rPr>
          <w:b/>
        </w:rPr>
        <w:t>(t.j. Dz. U. 2022 poz. 1029 ze zm.)</w:t>
      </w:r>
    </w:p>
    <w:p w14:paraId="522098EF" w14:textId="77777777" w:rsidR="00E53690" w:rsidRDefault="00E53690" w:rsidP="00886A4B">
      <w:pPr>
        <w:tabs>
          <w:tab w:val="left" w:pos="426"/>
        </w:tabs>
        <w:jc w:val="both"/>
      </w:pPr>
    </w:p>
    <w:p w14:paraId="476F8EFE" w14:textId="77777777" w:rsidR="008F2EC9" w:rsidRDefault="008F2EC9" w:rsidP="008F2EC9">
      <w:pPr>
        <w:pStyle w:val="Tekstpodstawowywcity"/>
        <w:spacing w:line="240" w:lineRule="auto"/>
      </w:pPr>
      <w:r>
        <w:t xml:space="preserve">Realizacja inwestycji obejmie obszar o powierzchni 2,4363 ha. Nieruchomość po uzyskaniu decyzji o warunkach zabudowy zostanie podzielona na 25 działek plus działka drogi wewnętrznej. Na każdej nowo wydzielonej działce przyszli właściciele będą z czasem realizować budynki jednorodzinne. Przed każdym budynkiem powstanie obszar utwardzony z kostki betonowej pełnej lub ażurowej oraz miejsce postojowe na samochód. </w:t>
      </w:r>
    </w:p>
    <w:p w14:paraId="1DCD880F" w14:textId="77777777" w:rsidR="008F2EC9" w:rsidRDefault="008F2EC9" w:rsidP="008F2EC9">
      <w:pPr>
        <w:pStyle w:val="Tekstpodstawowywcity"/>
        <w:spacing w:line="240" w:lineRule="auto"/>
      </w:pPr>
      <w:r>
        <w:t>Dostęp planowanych budynków jednorodzinnych do drogi publicznej (ul. Zgierskiej) będzie zapewniony poprzez działki dróg wewnętrznych o numerach 13/2, 13/11, 13/35. Projektowana zabudowa będzie kontynuacją istniejącego już osiedla zlokalizowanego na działkach o numerach od 13/23 do 13/34 znajdującego się od strony wschodniej projektowanego przedsięwzięcia.</w:t>
      </w:r>
    </w:p>
    <w:p w14:paraId="70E95C7F" w14:textId="6E1D0C6E" w:rsidR="008F2EC9" w:rsidRDefault="008F2EC9" w:rsidP="008F2EC9">
      <w:pPr>
        <w:pStyle w:val="Tekstpodstawowywcity"/>
        <w:spacing w:line="240" w:lineRule="auto"/>
      </w:pPr>
      <w:r>
        <w:t xml:space="preserve">Każda posesja zostanie ogrodzona, a dostęp do niej zostanie zapewniony przez zjazd </w:t>
      </w:r>
      <w:r>
        <w:br/>
      </w:r>
      <w:r>
        <w:t>z drogi wewnętrznej.</w:t>
      </w:r>
    </w:p>
    <w:p w14:paraId="438E650E" w14:textId="77777777" w:rsidR="008F2EC9" w:rsidRDefault="008F2EC9" w:rsidP="008F2EC9">
      <w:pPr>
        <w:pStyle w:val="Tekstpodstawowywcity"/>
        <w:spacing w:line="240" w:lineRule="auto"/>
      </w:pPr>
      <w:r>
        <w:t>W skład całego przedsięwzięcia wchodzić będzie:</w:t>
      </w:r>
    </w:p>
    <w:p w14:paraId="48C799BC" w14:textId="77777777" w:rsidR="008F2EC9" w:rsidRDefault="008F2EC9" w:rsidP="008F2EC9">
      <w:pPr>
        <w:pStyle w:val="Tekstpodstawowywcity"/>
        <w:numPr>
          <w:ilvl w:val="0"/>
          <w:numId w:val="26"/>
        </w:numPr>
        <w:spacing w:line="240" w:lineRule="auto"/>
      </w:pPr>
      <w:r>
        <w:t>budowa łącznie 25 budynków jednorodzinnych (każdy o maksymalnej powierzchni zabudowy do 180 m</w:t>
      </w:r>
      <w:r w:rsidRPr="008B2688">
        <w:rPr>
          <w:vertAlign w:val="superscript"/>
        </w:rPr>
        <w:t>2</w:t>
      </w:r>
      <w:r>
        <w:t>),</w:t>
      </w:r>
    </w:p>
    <w:p w14:paraId="2C619E5C" w14:textId="6B72DA09" w:rsidR="008F2EC9" w:rsidRDefault="008F2EC9" w:rsidP="008F2EC9">
      <w:pPr>
        <w:pStyle w:val="Tekstpodstawowywcity"/>
        <w:numPr>
          <w:ilvl w:val="0"/>
          <w:numId w:val="26"/>
        </w:numPr>
        <w:spacing w:line="240" w:lineRule="auto"/>
      </w:pPr>
      <w:r>
        <w:t xml:space="preserve">dojazd do planowanej inwestycji zostanie zapewniony z drogi publicznej </w:t>
      </w:r>
      <w:r>
        <w:br/>
      </w:r>
      <w:r>
        <w:t>– ul. Zgierskiej, poprzez dz. drogową nr 13/35,</w:t>
      </w:r>
    </w:p>
    <w:p w14:paraId="3804F9D4" w14:textId="77777777" w:rsidR="008F2EC9" w:rsidRDefault="008F2EC9" w:rsidP="008F2EC9">
      <w:pPr>
        <w:pStyle w:val="Tekstpodstawowywcity"/>
        <w:numPr>
          <w:ilvl w:val="0"/>
          <w:numId w:val="26"/>
        </w:numPr>
        <w:spacing w:line="240" w:lineRule="auto"/>
      </w:pPr>
      <w:r>
        <w:t>dojazd do poszczególnych budynków zapewni droga wewnętrzna (ciąg pieszo-jezdny, o nawierzchni utwardzonej, przepuszczalnej); na każdej posesji wykonane zostaną po dwa miejsca parkingowe,</w:t>
      </w:r>
    </w:p>
    <w:p w14:paraId="31F0FBA7" w14:textId="77777777" w:rsidR="008F2EC9" w:rsidRDefault="008F2EC9" w:rsidP="008F2EC9">
      <w:pPr>
        <w:pStyle w:val="Tekstpodstawowywcity"/>
        <w:numPr>
          <w:ilvl w:val="0"/>
          <w:numId w:val="25"/>
        </w:numPr>
        <w:spacing w:line="240" w:lineRule="auto"/>
      </w:pPr>
      <w:r>
        <w:t>urządzenia budowlane i infrastruktura techniczna, w tym:</w:t>
      </w:r>
    </w:p>
    <w:p w14:paraId="04F31402" w14:textId="77777777" w:rsidR="008F2EC9" w:rsidRDefault="008F2EC9" w:rsidP="008F2EC9">
      <w:pPr>
        <w:pStyle w:val="Tekstpodstawowywcity"/>
        <w:numPr>
          <w:ilvl w:val="0"/>
          <w:numId w:val="25"/>
        </w:numPr>
        <w:spacing w:line="240" w:lineRule="auto"/>
        <w:ind w:left="1985"/>
      </w:pPr>
      <w:r>
        <w:t>przyłącza wodociągowe,</w:t>
      </w:r>
    </w:p>
    <w:p w14:paraId="7C533823" w14:textId="77777777" w:rsidR="008F2EC9" w:rsidRDefault="008F2EC9" w:rsidP="008F2EC9">
      <w:pPr>
        <w:pStyle w:val="Tekstpodstawowywcity"/>
        <w:numPr>
          <w:ilvl w:val="0"/>
          <w:numId w:val="25"/>
        </w:numPr>
        <w:spacing w:line="240" w:lineRule="auto"/>
        <w:ind w:left="1985"/>
      </w:pPr>
      <w:r>
        <w:t>przydomowe kanalizacyjne lub oczyszczalnie,</w:t>
      </w:r>
    </w:p>
    <w:p w14:paraId="1F9D8563" w14:textId="77777777" w:rsidR="008F2EC9" w:rsidRDefault="008F2EC9" w:rsidP="008F2EC9">
      <w:pPr>
        <w:pStyle w:val="Tekstpodstawowywcity"/>
        <w:numPr>
          <w:ilvl w:val="0"/>
          <w:numId w:val="25"/>
        </w:numPr>
        <w:spacing w:line="240" w:lineRule="auto"/>
        <w:ind w:left="1985"/>
      </w:pPr>
      <w:r>
        <w:t>przyłącza energii elektrycznej,</w:t>
      </w:r>
    </w:p>
    <w:p w14:paraId="7912E561" w14:textId="77777777" w:rsidR="008F2EC9" w:rsidRDefault="008F2EC9" w:rsidP="008F2EC9">
      <w:pPr>
        <w:pStyle w:val="Tekstpodstawowywcity"/>
        <w:numPr>
          <w:ilvl w:val="0"/>
          <w:numId w:val="25"/>
        </w:numPr>
        <w:spacing w:line="240" w:lineRule="auto"/>
        <w:ind w:left="1985"/>
      </w:pPr>
      <w:r>
        <w:t>powierzchnia zabudowy na każdej działce budowlanej – max. do 180,0 m</w:t>
      </w:r>
      <w:r w:rsidRPr="00BA52FA">
        <w:rPr>
          <w:vertAlign w:val="superscript"/>
        </w:rPr>
        <w:t>2</w:t>
      </w:r>
      <w:r>
        <w:t>,</w:t>
      </w:r>
    </w:p>
    <w:p w14:paraId="64F69FD7" w14:textId="77777777" w:rsidR="008F2EC9" w:rsidRDefault="008F2EC9" w:rsidP="008F2EC9">
      <w:pPr>
        <w:pStyle w:val="Tekstpodstawowywcity"/>
        <w:numPr>
          <w:ilvl w:val="0"/>
          <w:numId w:val="25"/>
        </w:numPr>
        <w:spacing w:line="240" w:lineRule="auto"/>
        <w:ind w:left="1985"/>
      </w:pPr>
      <w:r>
        <w:t>powierzchnia terenu objętego inwestycją ok. 2,4363 ha, w tym:</w:t>
      </w:r>
    </w:p>
    <w:p w14:paraId="645EE0A2" w14:textId="77777777" w:rsidR="008F2EC9" w:rsidRDefault="008F2EC9" w:rsidP="008F2EC9">
      <w:pPr>
        <w:pStyle w:val="Tekstpodstawowywcity"/>
        <w:numPr>
          <w:ilvl w:val="0"/>
          <w:numId w:val="25"/>
        </w:numPr>
        <w:spacing w:line="240" w:lineRule="auto"/>
        <w:ind w:left="1985"/>
      </w:pPr>
      <w:r>
        <w:t>powierzchnia działek budowlanych – ok. 2,21 ha,</w:t>
      </w:r>
    </w:p>
    <w:p w14:paraId="26DC856A" w14:textId="77777777" w:rsidR="008F2EC9" w:rsidRDefault="008F2EC9" w:rsidP="008F2EC9">
      <w:pPr>
        <w:pStyle w:val="Tekstpodstawowywcity"/>
        <w:numPr>
          <w:ilvl w:val="0"/>
          <w:numId w:val="25"/>
        </w:numPr>
        <w:spacing w:line="240" w:lineRule="auto"/>
        <w:ind w:left="1985"/>
      </w:pPr>
      <w:r>
        <w:t>droga wewnętrzna – ok. 0,22 ha.</w:t>
      </w:r>
    </w:p>
    <w:p w14:paraId="74F6EFD2" w14:textId="77777777" w:rsidR="008F2EC9" w:rsidRDefault="008F2EC9" w:rsidP="008F2EC9">
      <w:pPr>
        <w:pStyle w:val="Tekstpodstawowywcity"/>
        <w:spacing w:line="240" w:lineRule="auto"/>
      </w:pPr>
      <w:r>
        <w:t>Planowane budynki mieszkalne jednorodzinne będą posiadać następujące parametry:</w:t>
      </w:r>
    </w:p>
    <w:p w14:paraId="405B53F5" w14:textId="77777777" w:rsidR="008F2EC9" w:rsidRDefault="008F2EC9" w:rsidP="008F2EC9">
      <w:pPr>
        <w:pStyle w:val="Tekstpodstawowywcity"/>
        <w:numPr>
          <w:ilvl w:val="0"/>
          <w:numId w:val="24"/>
        </w:numPr>
        <w:spacing w:line="240" w:lineRule="auto"/>
      </w:pPr>
      <w:r>
        <w:t>budynki wolnostojące o pow. użytkowej ok. 150 m</w:t>
      </w:r>
      <w:r w:rsidRPr="00BA52FA">
        <w:rPr>
          <w:vertAlign w:val="superscript"/>
        </w:rPr>
        <w:t>2</w:t>
      </w:r>
      <w:r>
        <w:t>,</w:t>
      </w:r>
    </w:p>
    <w:p w14:paraId="0AB0C3D6" w14:textId="77777777" w:rsidR="008F2EC9" w:rsidRDefault="008F2EC9" w:rsidP="008F2EC9">
      <w:pPr>
        <w:pStyle w:val="Tekstpodstawowywcity"/>
        <w:numPr>
          <w:ilvl w:val="0"/>
          <w:numId w:val="24"/>
        </w:numPr>
        <w:spacing w:line="240" w:lineRule="auto"/>
      </w:pPr>
      <w:r>
        <w:t>wymiary budynku maksymalnie: 15,0 m od frontu, 12,0 m w głąb działki,</w:t>
      </w:r>
    </w:p>
    <w:p w14:paraId="3A559673" w14:textId="77777777" w:rsidR="008F2EC9" w:rsidRDefault="008F2EC9" w:rsidP="008F2EC9">
      <w:pPr>
        <w:pStyle w:val="Tekstpodstawowywcity"/>
        <w:numPr>
          <w:ilvl w:val="0"/>
          <w:numId w:val="24"/>
        </w:numPr>
        <w:spacing w:line="240" w:lineRule="auto"/>
      </w:pPr>
      <w:r>
        <w:t>maksymalnie dwie kondygnacje łącznie z poddaszem,</w:t>
      </w:r>
    </w:p>
    <w:p w14:paraId="00798BFA" w14:textId="77777777" w:rsidR="008F2EC9" w:rsidRDefault="008F2EC9" w:rsidP="008F2EC9">
      <w:pPr>
        <w:pStyle w:val="Tekstpodstawowywcity"/>
        <w:numPr>
          <w:ilvl w:val="0"/>
          <w:numId w:val="24"/>
        </w:numPr>
        <w:spacing w:line="240" w:lineRule="auto"/>
      </w:pPr>
      <w:r>
        <w:t>wysokość zabudowy do kalenicy do ok. 9 m,</w:t>
      </w:r>
    </w:p>
    <w:p w14:paraId="51FBB343" w14:textId="77777777" w:rsidR="008F2EC9" w:rsidRDefault="008F2EC9" w:rsidP="008F2EC9">
      <w:pPr>
        <w:pStyle w:val="Tekstpodstawowywcity"/>
        <w:numPr>
          <w:ilvl w:val="0"/>
          <w:numId w:val="24"/>
        </w:numPr>
        <w:spacing w:line="240" w:lineRule="auto"/>
      </w:pPr>
      <w:r>
        <w:t>dachy wielospadowe o kącie max. do 45o,</w:t>
      </w:r>
    </w:p>
    <w:p w14:paraId="4018E915" w14:textId="77777777" w:rsidR="008F2EC9" w:rsidRDefault="008F2EC9" w:rsidP="008F2EC9">
      <w:pPr>
        <w:pStyle w:val="Tekstpodstawowywcity"/>
        <w:numPr>
          <w:ilvl w:val="0"/>
          <w:numId w:val="24"/>
        </w:numPr>
        <w:spacing w:line="240" w:lineRule="auto"/>
      </w:pPr>
      <w:r>
        <w:t>kubatura poszczególnych budynków będzie wynosiła w granicach od 450 m</w:t>
      </w:r>
      <w:r w:rsidRPr="00BA52FA">
        <w:rPr>
          <w:vertAlign w:val="superscript"/>
        </w:rPr>
        <w:t>3</w:t>
      </w:r>
      <w:r>
        <w:t xml:space="preserve"> do 900 m</w:t>
      </w:r>
      <w:r w:rsidRPr="00BA52FA">
        <w:rPr>
          <w:vertAlign w:val="superscript"/>
        </w:rPr>
        <w:t>3</w:t>
      </w:r>
      <w:r>
        <w:t>.</w:t>
      </w:r>
    </w:p>
    <w:p w14:paraId="16B2A479" w14:textId="77777777" w:rsidR="008F2EC9" w:rsidRDefault="008F2EC9" w:rsidP="008F2EC9">
      <w:pPr>
        <w:pStyle w:val="Tekstpodstawowywcity"/>
        <w:spacing w:line="240" w:lineRule="auto"/>
      </w:pPr>
      <w:r>
        <w:t xml:space="preserve">W ramach realizacji przedsięwzięcia zostanie zbudowana niezbędna infrastruktura techniczna: </w:t>
      </w:r>
    </w:p>
    <w:p w14:paraId="5E5C6144" w14:textId="77777777" w:rsidR="008F2EC9" w:rsidRDefault="008F2EC9" w:rsidP="008F2EC9">
      <w:pPr>
        <w:pStyle w:val="Tekstpodstawowywcity"/>
        <w:numPr>
          <w:ilvl w:val="0"/>
          <w:numId w:val="27"/>
        </w:numPr>
        <w:spacing w:line="240" w:lineRule="auto"/>
      </w:pPr>
      <w:r>
        <w:lastRenderedPageBreak/>
        <w:t>zewnętrzna instalacja wody z wodociągu miejskiego,</w:t>
      </w:r>
    </w:p>
    <w:p w14:paraId="190C4718" w14:textId="77777777" w:rsidR="008F2EC9" w:rsidRDefault="008F2EC9" w:rsidP="008F2EC9">
      <w:pPr>
        <w:pStyle w:val="Tekstpodstawowywcity"/>
        <w:numPr>
          <w:ilvl w:val="0"/>
          <w:numId w:val="27"/>
        </w:numPr>
        <w:spacing w:line="240" w:lineRule="auto"/>
      </w:pPr>
      <w:r>
        <w:t xml:space="preserve">zasilenie w energię elektryczną projektowaną wewnętrzną linią zasilającą </w:t>
      </w:r>
      <w:r>
        <w:br/>
        <w:t>i przyłącza wykonanego przez gestora sieci zgodnie z prawem energetycznym,</w:t>
      </w:r>
    </w:p>
    <w:p w14:paraId="071031F3" w14:textId="77777777" w:rsidR="008F2EC9" w:rsidRDefault="008F2EC9" w:rsidP="008F2EC9">
      <w:pPr>
        <w:pStyle w:val="Tekstpodstawowywcity"/>
        <w:numPr>
          <w:ilvl w:val="0"/>
          <w:numId w:val="27"/>
        </w:numPr>
        <w:spacing w:line="240" w:lineRule="auto"/>
      </w:pPr>
      <w:r>
        <w:t xml:space="preserve">odprowadzanie ścieków do szczelnych zbiorników bezodpływowych lub przydomowe oczyszczalnie ścieków, </w:t>
      </w:r>
    </w:p>
    <w:p w14:paraId="1358DCAB" w14:textId="77777777" w:rsidR="008F2EC9" w:rsidRDefault="008F2EC9" w:rsidP="008F2EC9">
      <w:pPr>
        <w:pStyle w:val="Tekstpodstawowywcity"/>
        <w:numPr>
          <w:ilvl w:val="0"/>
          <w:numId w:val="27"/>
        </w:numPr>
        <w:spacing w:line="240" w:lineRule="auto"/>
      </w:pPr>
      <w:r>
        <w:t>odprowadzanie wód opadowych projektuje się na tereny nieutwardzone znajdujące się w granicach opracowania (retencja w gruncie),</w:t>
      </w:r>
    </w:p>
    <w:p w14:paraId="53165819" w14:textId="77777777" w:rsidR="008F2EC9" w:rsidRDefault="008F2EC9" w:rsidP="008F2EC9">
      <w:pPr>
        <w:pStyle w:val="Tekstpodstawowywcity"/>
        <w:numPr>
          <w:ilvl w:val="0"/>
          <w:numId w:val="27"/>
        </w:numPr>
        <w:spacing w:line="240" w:lineRule="auto"/>
      </w:pPr>
      <w:r>
        <w:t>ogrzewanie budynków projektuje się z lokalnych kotłów C.O. zasilanych gazem lub energią elektryczną (np. pompy ciepła, piec elektryczny).</w:t>
      </w:r>
    </w:p>
    <w:p w14:paraId="347AE827" w14:textId="77777777" w:rsidR="006F2A01" w:rsidRPr="00DD725F" w:rsidRDefault="006F2A01" w:rsidP="006C6CF4">
      <w:pPr>
        <w:pStyle w:val="Tekstpodstawowywcity"/>
        <w:spacing w:line="240" w:lineRule="auto"/>
        <w:ind w:firstLine="0"/>
      </w:pPr>
    </w:p>
    <w:p w14:paraId="2EAE2978" w14:textId="21462149" w:rsidR="006F2A01" w:rsidRPr="00611AD4" w:rsidRDefault="0023177C" w:rsidP="00DD725F">
      <w:pPr>
        <w:jc w:val="both"/>
        <w:rPr>
          <w:b/>
        </w:rPr>
      </w:pPr>
      <w:r w:rsidRPr="00DD725F">
        <w:rPr>
          <w:b/>
        </w:rPr>
        <w:t xml:space="preserve">Emisja </w:t>
      </w:r>
      <w:r w:rsidR="003E4EFA">
        <w:rPr>
          <w:b/>
        </w:rPr>
        <w:t>hałasu</w:t>
      </w:r>
    </w:p>
    <w:p w14:paraId="6FD53690" w14:textId="6DE671E1" w:rsidR="008F2EC9" w:rsidRDefault="008F2EC9" w:rsidP="000A646B">
      <w:pPr>
        <w:ind w:firstLine="708"/>
        <w:jc w:val="both"/>
      </w:pPr>
      <w:r>
        <w:t>Prace budowlane będą powodować charakterystyczne dla tego rodzaju przedsięwzięć oddziaływania, takie jak emisja hałasu z pracy urządzeń i sprzętu budowlanego</w:t>
      </w:r>
      <w:r w:rsidR="000A646B">
        <w:t>.</w:t>
      </w:r>
      <w:r w:rsidR="000A646B" w:rsidRPr="000A646B">
        <w:t xml:space="preserve"> </w:t>
      </w:r>
      <w:r w:rsidR="000A646B">
        <w:t>W celu zminimalizowania oddziaływań prace uciążliwe akustycznie prowadzone będą w porze dnia.</w:t>
      </w:r>
      <w:r w:rsidR="000A646B">
        <w:t xml:space="preserve"> </w:t>
      </w:r>
    </w:p>
    <w:p w14:paraId="57E3807F" w14:textId="13A0F791" w:rsidR="00611AD4" w:rsidRDefault="00611AD4" w:rsidP="00611AD4">
      <w:pPr>
        <w:pStyle w:val="Tekstpodstawowywcity"/>
        <w:spacing w:line="240" w:lineRule="auto"/>
      </w:pPr>
      <w:r>
        <w:t>Na etapie eksploatacji przewiduje się nieznaczną emisję hałasu</w:t>
      </w:r>
      <w:r>
        <w:t xml:space="preserve">. </w:t>
      </w:r>
      <w:r>
        <w:t>Oddziaływanie w fazie eksploatacji będzie długotrwałe o charakterze ciągłym, jednakże oddziaływanie to nie będzie powodować zagrożenia jakości środowiska, jeśli przedsięwzięcie będzie przeprowadzone zgodnie z zamierzeniami inwestora przedstawionymi w przedłożonej dokumentacji.</w:t>
      </w:r>
    </w:p>
    <w:p w14:paraId="7B3C9341" w14:textId="77777777" w:rsidR="00837793" w:rsidRPr="00DD725F" w:rsidRDefault="00837793" w:rsidP="00DD725F">
      <w:pPr>
        <w:jc w:val="both"/>
        <w:rPr>
          <w:b/>
        </w:rPr>
      </w:pPr>
    </w:p>
    <w:p w14:paraId="14D6688E" w14:textId="1A77BC6C" w:rsidR="00C67044" w:rsidRPr="00611AD4" w:rsidRDefault="0023177C" w:rsidP="008F2EC9">
      <w:pPr>
        <w:jc w:val="both"/>
        <w:rPr>
          <w:b/>
        </w:rPr>
      </w:pPr>
      <w:r w:rsidRPr="00DD725F">
        <w:rPr>
          <w:b/>
        </w:rPr>
        <w:t>Emisja pyłów i gazów</w:t>
      </w:r>
    </w:p>
    <w:p w14:paraId="1BF27F58" w14:textId="26EFEFCC" w:rsidR="008F2EC9" w:rsidRDefault="008F2EC9" w:rsidP="00611AD4">
      <w:pPr>
        <w:ind w:firstLine="708"/>
        <w:jc w:val="both"/>
      </w:pPr>
      <w:r>
        <w:t>Prace budowlane będą powodować charakterystyczne dla tego rodzaju przedsięwzięć oddziaływania, takie jak emisja pyłów i gazów do atmosfery ze spalania paliw w pojazdach transportu oraz z pracy urządzeń budowlanych</w:t>
      </w:r>
      <w:r w:rsidR="00E605E6">
        <w:t>.</w:t>
      </w:r>
    </w:p>
    <w:p w14:paraId="6F6EDD63" w14:textId="5F9A761A" w:rsidR="000A646B" w:rsidRDefault="00611AD4" w:rsidP="006F1ADA">
      <w:pPr>
        <w:pStyle w:val="Tekstpodstawowywcity"/>
        <w:spacing w:line="240" w:lineRule="auto"/>
      </w:pPr>
      <w:r>
        <w:t xml:space="preserve">Eksploatacja projektowanego przedsięwzięcia będzie wiązała się z emisją zanieczyszczeń do powietrza atmosferycznego przede wszystkim z tytułu spalania paliw w kotłach grzewczych </w:t>
      </w:r>
      <w:r w:rsidR="0081133F">
        <w:br/>
      </w:r>
      <w:r>
        <w:t>i będzie uzależniona od zastosowanego rodzaju paliwa. Projektowane systemy grzewcze powinny być oparte na paliwach niskoemisyjnych. Zalecane jest wykorzystanie odnawialnych źródeł energii. Ponadto źródłem powstawania emisji zanieczyszczeń do powietrza będzie niezorganizowana emisja pochodząca z ruchu komunikacyjnego po terenie inwestycji. Z uwagi na rodzaj i skalę przedsięwzięcia emisje te będą stosunkowo niewielkie.</w:t>
      </w:r>
    </w:p>
    <w:p w14:paraId="54275E04" w14:textId="77777777" w:rsidR="00C44911" w:rsidRDefault="00C44911" w:rsidP="004947B0">
      <w:pPr>
        <w:jc w:val="both"/>
      </w:pPr>
    </w:p>
    <w:p w14:paraId="645F37C2" w14:textId="431F642A" w:rsidR="00890B19" w:rsidRPr="00F20851" w:rsidRDefault="007A6B17" w:rsidP="00F20851">
      <w:pPr>
        <w:jc w:val="both"/>
        <w:rPr>
          <w:b/>
        </w:rPr>
      </w:pPr>
      <w:r w:rsidRPr="00DD725F">
        <w:rPr>
          <w:b/>
        </w:rPr>
        <w:t>Emisja</w:t>
      </w:r>
      <w:r w:rsidR="0023177C" w:rsidRPr="00DD725F">
        <w:rPr>
          <w:b/>
        </w:rPr>
        <w:t xml:space="preserve"> ścieków bytowych i deszczowych</w:t>
      </w:r>
      <w:r w:rsidR="00890B19" w:rsidRPr="007878C3">
        <w:t xml:space="preserve"> </w:t>
      </w:r>
    </w:p>
    <w:p w14:paraId="3E02DD13" w14:textId="1D2C89D6" w:rsidR="00A94CC1" w:rsidRDefault="00A94CC1" w:rsidP="00A94CC1">
      <w:pPr>
        <w:ind w:firstLine="708"/>
        <w:jc w:val="both"/>
      </w:pPr>
      <w:r>
        <w:t>Prace budowlane będą powodować charakterystyczne dla tego rodzaju przedsięwzięć oddziaływania, takie jak emisja ścieków bytowych w związku z funkcjonowaniem zaplecza budowy, emisja wód opadowych i roztopowych oraz gruntowych z przestrzeni wykopów podczas prowadzenia prac ziemnych.</w:t>
      </w:r>
    </w:p>
    <w:p w14:paraId="2D9242DF" w14:textId="77777777" w:rsidR="00611AD4" w:rsidRPr="00611AD4" w:rsidRDefault="00611AD4" w:rsidP="00611AD4">
      <w:pPr>
        <w:ind w:firstLine="708"/>
        <w:jc w:val="both"/>
      </w:pPr>
      <w:r w:rsidRPr="00611AD4">
        <w:t>Ścieki bytowe na etapie eksploatacji odprowadzać do zbiorników bezodpływowych (szamb) o pojemności min. 10 m</w:t>
      </w:r>
      <w:r w:rsidRPr="00611AD4">
        <w:rPr>
          <w:vertAlign w:val="superscript"/>
        </w:rPr>
        <w:t>3</w:t>
      </w:r>
      <w:r w:rsidRPr="00611AD4">
        <w:t xml:space="preserve"> lub przydomowych oczyszczalni ścieków. </w:t>
      </w:r>
    </w:p>
    <w:p w14:paraId="3B624DF5" w14:textId="77777777" w:rsidR="00F5572C" w:rsidRDefault="00F5572C" w:rsidP="00DD725F">
      <w:pPr>
        <w:jc w:val="both"/>
      </w:pPr>
    </w:p>
    <w:p w14:paraId="2E36CD85" w14:textId="354C64E8" w:rsidR="008F33AD" w:rsidRPr="004564A2" w:rsidRDefault="0023177C" w:rsidP="00DD725F">
      <w:pPr>
        <w:jc w:val="both"/>
        <w:rPr>
          <w:b/>
        </w:rPr>
      </w:pPr>
      <w:r w:rsidRPr="00DD725F">
        <w:rPr>
          <w:b/>
        </w:rPr>
        <w:t>Emisja odpadów</w:t>
      </w:r>
    </w:p>
    <w:p w14:paraId="7792587A" w14:textId="3F5DB191" w:rsidR="00F5572C" w:rsidRDefault="00267E8C" w:rsidP="00267E8C">
      <w:pPr>
        <w:ind w:firstLine="708"/>
        <w:jc w:val="both"/>
      </w:pPr>
      <w:r w:rsidRPr="00267E8C">
        <w:t xml:space="preserve">Odpady wytworzone w trakcie budowy i eksploatacji, należy gromadzić selektywnie, </w:t>
      </w:r>
      <w:r>
        <w:br/>
      </w:r>
      <w:r w:rsidRPr="00267E8C">
        <w:t>w uporządkowany sposób, w pojemnikach, kontenerach lub innych odpowiednich opakowaniach, w warunkach odpowiednio zabezpieczonych przed przedostaniem się do środowiska substancji szkodliwych, przed dostępem osób postronnych i zwierząt, na utwardzonym podłożu, a następnie przekazywać firmom posiadającym stosowne zezwolenie na zbieranie odpadów, odzysk czy ich unieszkodliwienie.</w:t>
      </w:r>
    </w:p>
    <w:p w14:paraId="0871DFCC" w14:textId="606C43A7" w:rsidR="006829FB" w:rsidRDefault="006829FB" w:rsidP="00267E8C">
      <w:pPr>
        <w:ind w:firstLine="708"/>
        <w:jc w:val="both"/>
      </w:pPr>
      <w:r>
        <w:t>Na etapie eksploatacji przewiduje się powstawanie odpadów głównie komunalnych</w:t>
      </w:r>
      <w:r w:rsidR="006F1ADA">
        <w:t>.</w:t>
      </w:r>
    </w:p>
    <w:p w14:paraId="1B1AA46B" w14:textId="77777777" w:rsidR="00837793" w:rsidRPr="00DD725F" w:rsidRDefault="00837793" w:rsidP="00DD725F">
      <w:pPr>
        <w:jc w:val="both"/>
      </w:pPr>
    </w:p>
    <w:p w14:paraId="175A66BE" w14:textId="008FF237" w:rsidR="009D7951" w:rsidRPr="00374B62" w:rsidRDefault="007A6B17" w:rsidP="00886A4B">
      <w:pPr>
        <w:jc w:val="both"/>
        <w:rPr>
          <w:b/>
        </w:rPr>
      </w:pPr>
      <w:r w:rsidRPr="00DD725F">
        <w:rPr>
          <w:b/>
        </w:rPr>
        <w:t>Oddziaływania na obszary chronione</w:t>
      </w:r>
    </w:p>
    <w:p w14:paraId="2E21DF30" w14:textId="77777777" w:rsidR="00E109DB" w:rsidRDefault="00E109DB" w:rsidP="00E109DB">
      <w:pPr>
        <w:pStyle w:val="Tekstpodstawowywcity"/>
        <w:spacing w:line="240" w:lineRule="auto"/>
      </w:pPr>
      <w:r>
        <w:t xml:space="preserve">Przedmiotowe przedsięwzięcie zlokalizowane jest poza obszarami chronionymi na podstawie ustawy z dnia 16 kwietnia 2004 r. o ochronie przyrody. W promieniu do 5 km, najbliżej położonymi obszarami chronionymi są: rezerwat przyrody Torfowisko Rąbień </w:t>
      </w:r>
      <w:r>
        <w:br/>
        <w:t xml:space="preserve">w odległości ok. 4,0 km oraz Zespół przyrodniczo-krajobrazowy Międzyrzecze Neru </w:t>
      </w:r>
      <w:r>
        <w:br/>
        <w:t>i Dobrzynki w odległości ok. 4,1 km.</w:t>
      </w:r>
    </w:p>
    <w:p w14:paraId="1944A3A3" w14:textId="08869AE3" w:rsidR="00837793" w:rsidRPr="00753ABB" w:rsidRDefault="00E109DB" w:rsidP="00E109DB">
      <w:pPr>
        <w:pStyle w:val="Tekstpodstawowywcity"/>
        <w:spacing w:line="240" w:lineRule="auto"/>
      </w:pPr>
      <w:r>
        <w:t xml:space="preserve">Teren realizacji przedsięwzięcia znajduje się poza obszarami Natura 2000. Najbliżej położonym obszarem jest specjalny obszar ochrony siedlisk Grądy nad Lindą PLH100022 </w:t>
      </w:r>
      <w:r>
        <w:br/>
        <w:t>w odległości ok. 11,9 km.</w:t>
      </w:r>
    </w:p>
    <w:sectPr w:rsidR="00837793" w:rsidRPr="00753ABB">
      <w:footerReference w:type="default" r:id="rId8"/>
      <w:pgSz w:w="12240" w:h="15840"/>
      <w:pgMar w:top="1417" w:right="1417" w:bottom="1276"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26E1" w14:textId="77777777" w:rsidR="0029023F" w:rsidRDefault="0029023F">
      <w:r>
        <w:separator/>
      </w:r>
    </w:p>
  </w:endnote>
  <w:endnote w:type="continuationSeparator" w:id="0">
    <w:p w14:paraId="005D20E8" w14:textId="77777777" w:rsidR="0029023F" w:rsidRDefault="0029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y 9">
    <w:altName w:val="Courier New"/>
    <w:charset w:val="EE"/>
    <w:family w:val="auto"/>
    <w:pitch w:val="variable"/>
    <w:sig w:usb0="00000000"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Cambria"/>
    <w:charset w:val="01"/>
    <w:family w:val="roman"/>
    <w:pitch w:val="variable"/>
  </w:font>
  <w:font w:name="OpenSymbol">
    <w:panose1 w:val="05010000000000000000"/>
    <w:charset w:val="00"/>
    <w:family w:val="auto"/>
    <w:pitch w:val="variable"/>
    <w:sig w:usb0="800000AF" w:usb1="1001ECEA" w:usb2="00000000" w:usb3="00000000" w:csb0="00000001" w:csb1="00000000"/>
  </w:font>
  <w:font w:name="Liberation Sans">
    <w:altName w:val="Arial"/>
    <w:charset w:val="01"/>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529060"/>
      <w:docPartObj>
        <w:docPartGallery w:val="Page Numbers (Bottom of Page)"/>
        <w:docPartUnique/>
      </w:docPartObj>
    </w:sdtPr>
    <w:sdtEndPr/>
    <w:sdtContent>
      <w:sdt>
        <w:sdtPr>
          <w:id w:val="-1669238322"/>
          <w:docPartObj>
            <w:docPartGallery w:val="Page Numbers (Top of Page)"/>
            <w:docPartUnique/>
          </w:docPartObj>
        </w:sdtPr>
        <w:sdtEndPr/>
        <w:sdtContent>
          <w:p w14:paraId="7018476D" w14:textId="77777777" w:rsidR="0029023F" w:rsidRDefault="0029023F">
            <w:pPr>
              <w:pStyle w:val="Stopka"/>
              <w:jc w:val="center"/>
            </w:pPr>
            <w:r w:rsidRPr="00C9408D">
              <w:t xml:space="preserve">Strona </w:t>
            </w:r>
            <w:r w:rsidRPr="00C9408D">
              <w:rPr>
                <w:bCs/>
              </w:rPr>
              <w:fldChar w:fldCharType="begin"/>
            </w:r>
            <w:r w:rsidRPr="00C9408D">
              <w:rPr>
                <w:bCs/>
              </w:rPr>
              <w:instrText>PAGE</w:instrText>
            </w:r>
            <w:r w:rsidRPr="00C9408D">
              <w:rPr>
                <w:bCs/>
              </w:rPr>
              <w:fldChar w:fldCharType="separate"/>
            </w:r>
            <w:r w:rsidR="00591E10">
              <w:rPr>
                <w:bCs/>
                <w:noProof/>
              </w:rPr>
              <w:t>1</w:t>
            </w:r>
            <w:r w:rsidRPr="00C9408D">
              <w:rPr>
                <w:bCs/>
              </w:rPr>
              <w:fldChar w:fldCharType="end"/>
            </w:r>
            <w:r w:rsidRPr="00C9408D">
              <w:t xml:space="preserve"> z </w:t>
            </w:r>
            <w:r w:rsidRPr="00C9408D">
              <w:rPr>
                <w:bCs/>
              </w:rPr>
              <w:fldChar w:fldCharType="begin"/>
            </w:r>
            <w:r w:rsidRPr="00C9408D">
              <w:rPr>
                <w:bCs/>
              </w:rPr>
              <w:instrText>NUMPAGES</w:instrText>
            </w:r>
            <w:r w:rsidRPr="00C9408D">
              <w:rPr>
                <w:bCs/>
              </w:rPr>
              <w:fldChar w:fldCharType="separate"/>
            </w:r>
            <w:r w:rsidR="00591E10">
              <w:rPr>
                <w:bCs/>
                <w:noProof/>
              </w:rPr>
              <w:t>5</w:t>
            </w:r>
            <w:r w:rsidRPr="00C9408D">
              <w:rPr>
                <w:bCs/>
              </w:rPr>
              <w:fldChar w:fldCharType="end"/>
            </w:r>
          </w:p>
        </w:sdtContent>
      </w:sdt>
    </w:sdtContent>
  </w:sdt>
  <w:p w14:paraId="6E79038F" w14:textId="77777777" w:rsidR="0029023F" w:rsidRDefault="002902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008C" w14:textId="77777777" w:rsidR="0029023F" w:rsidRDefault="0029023F">
      <w:r>
        <w:separator/>
      </w:r>
    </w:p>
  </w:footnote>
  <w:footnote w:type="continuationSeparator" w:id="0">
    <w:p w14:paraId="330B76FC" w14:textId="77777777" w:rsidR="0029023F" w:rsidRDefault="00290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7C401B54"/>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3" w15:restartNumberingAfterBreak="0">
    <w:nsid w:val="06AF22B2"/>
    <w:multiLevelType w:val="hybridMultilevel"/>
    <w:tmpl w:val="DE089D9A"/>
    <w:lvl w:ilvl="0" w:tplc="0415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11E23ED6"/>
    <w:multiLevelType w:val="hybridMultilevel"/>
    <w:tmpl w:val="A8A8CE10"/>
    <w:lvl w:ilvl="0" w:tplc="4AA4D796">
      <w:start w:val="1"/>
      <w:numFmt w:val="bullet"/>
      <w:lvlText w:val=""/>
      <w:lvlJc w:val="left"/>
      <w:pPr>
        <w:ind w:left="-356" w:hanging="360"/>
      </w:pPr>
      <w:rPr>
        <w:rFonts w:ascii="Symbol" w:hAnsi="Symbol" w:hint="default"/>
      </w:rPr>
    </w:lvl>
    <w:lvl w:ilvl="1" w:tplc="04150003" w:tentative="1">
      <w:start w:val="1"/>
      <w:numFmt w:val="bullet"/>
      <w:lvlText w:val="o"/>
      <w:lvlJc w:val="left"/>
      <w:pPr>
        <w:ind w:left="364" w:hanging="360"/>
      </w:pPr>
      <w:rPr>
        <w:rFonts w:ascii="Courier New" w:hAnsi="Courier New" w:cs="Courier New" w:hint="default"/>
      </w:rPr>
    </w:lvl>
    <w:lvl w:ilvl="2" w:tplc="04150005" w:tentative="1">
      <w:start w:val="1"/>
      <w:numFmt w:val="bullet"/>
      <w:lvlText w:val=""/>
      <w:lvlJc w:val="left"/>
      <w:pPr>
        <w:ind w:left="1084" w:hanging="360"/>
      </w:pPr>
      <w:rPr>
        <w:rFonts w:ascii="Wingdings" w:hAnsi="Wingdings" w:hint="default"/>
      </w:rPr>
    </w:lvl>
    <w:lvl w:ilvl="3" w:tplc="04150001" w:tentative="1">
      <w:start w:val="1"/>
      <w:numFmt w:val="bullet"/>
      <w:lvlText w:val=""/>
      <w:lvlJc w:val="left"/>
      <w:pPr>
        <w:ind w:left="1804" w:hanging="360"/>
      </w:pPr>
      <w:rPr>
        <w:rFonts w:ascii="Symbol" w:hAnsi="Symbol" w:hint="default"/>
      </w:rPr>
    </w:lvl>
    <w:lvl w:ilvl="4" w:tplc="04150003" w:tentative="1">
      <w:start w:val="1"/>
      <w:numFmt w:val="bullet"/>
      <w:lvlText w:val="o"/>
      <w:lvlJc w:val="left"/>
      <w:pPr>
        <w:ind w:left="2524" w:hanging="360"/>
      </w:pPr>
      <w:rPr>
        <w:rFonts w:ascii="Courier New" w:hAnsi="Courier New" w:cs="Courier New" w:hint="default"/>
      </w:rPr>
    </w:lvl>
    <w:lvl w:ilvl="5" w:tplc="04150005" w:tentative="1">
      <w:start w:val="1"/>
      <w:numFmt w:val="bullet"/>
      <w:lvlText w:val=""/>
      <w:lvlJc w:val="left"/>
      <w:pPr>
        <w:ind w:left="3244" w:hanging="360"/>
      </w:pPr>
      <w:rPr>
        <w:rFonts w:ascii="Wingdings" w:hAnsi="Wingdings" w:hint="default"/>
      </w:rPr>
    </w:lvl>
    <w:lvl w:ilvl="6" w:tplc="04150001" w:tentative="1">
      <w:start w:val="1"/>
      <w:numFmt w:val="bullet"/>
      <w:lvlText w:val=""/>
      <w:lvlJc w:val="left"/>
      <w:pPr>
        <w:ind w:left="3964" w:hanging="360"/>
      </w:pPr>
      <w:rPr>
        <w:rFonts w:ascii="Symbol" w:hAnsi="Symbol" w:hint="default"/>
      </w:rPr>
    </w:lvl>
    <w:lvl w:ilvl="7" w:tplc="04150003" w:tentative="1">
      <w:start w:val="1"/>
      <w:numFmt w:val="bullet"/>
      <w:lvlText w:val="o"/>
      <w:lvlJc w:val="left"/>
      <w:pPr>
        <w:ind w:left="4684" w:hanging="360"/>
      </w:pPr>
      <w:rPr>
        <w:rFonts w:ascii="Courier New" w:hAnsi="Courier New" w:cs="Courier New" w:hint="default"/>
      </w:rPr>
    </w:lvl>
    <w:lvl w:ilvl="8" w:tplc="04150005" w:tentative="1">
      <w:start w:val="1"/>
      <w:numFmt w:val="bullet"/>
      <w:lvlText w:val=""/>
      <w:lvlJc w:val="left"/>
      <w:pPr>
        <w:ind w:left="5404" w:hanging="360"/>
      </w:pPr>
      <w:rPr>
        <w:rFonts w:ascii="Wingdings" w:hAnsi="Wingdings" w:hint="default"/>
      </w:rPr>
    </w:lvl>
  </w:abstractNum>
  <w:abstractNum w:abstractNumId="5" w15:restartNumberingAfterBreak="0">
    <w:nsid w:val="15022AF8"/>
    <w:multiLevelType w:val="hybridMultilevel"/>
    <w:tmpl w:val="698699DA"/>
    <w:lvl w:ilvl="0" w:tplc="FC364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994083B"/>
    <w:multiLevelType w:val="hybridMultilevel"/>
    <w:tmpl w:val="C9EAA50E"/>
    <w:lvl w:ilvl="0" w:tplc="04150001">
      <w:start w:val="1"/>
      <w:numFmt w:val="bullet"/>
      <w:lvlText w:val="-"/>
      <w:lvlJc w:val="left"/>
      <w:pPr>
        <w:ind w:left="1428" w:hanging="360"/>
      </w:pPr>
      <w:rPr>
        <w:rFonts w:ascii="Proxy 9" w:hAnsi="Proxy 9"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281148F2"/>
    <w:multiLevelType w:val="hybridMultilevel"/>
    <w:tmpl w:val="83885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BE0C99"/>
    <w:multiLevelType w:val="hybridMultilevel"/>
    <w:tmpl w:val="1084E91E"/>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266ED4"/>
    <w:multiLevelType w:val="hybridMultilevel"/>
    <w:tmpl w:val="15AA8A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378F165F"/>
    <w:multiLevelType w:val="hybridMultilevel"/>
    <w:tmpl w:val="BDB2CC22"/>
    <w:lvl w:ilvl="0" w:tplc="343407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400797"/>
    <w:multiLevelType w:val="hybridMultilevel"/>
    <w:tmpl w:val="DD882CA0"/>
    <w:lvl w:ilvl="0" w:tplc="FC364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9466647"/>
    <w:multiLevelType w:val="hybridMultilevel"/>
    <w:tmpl w:val="E73C91FA"/>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B853CE"/>
    <w:multiLevelType w:val="hybridMultilevel"/>
    <w:tmpl w:val="8B8277C0"/>
    <w:lvl w:ilvl="0" w:tplc="19B0B6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5D6B15"/>
    <w:multiLevelType w:val="hybridMultilevel"/>
    <w:tmpl w:val="CA0CB3CC"/>
    <w:lvl w:ilvl="0" w:tplc="04150001">
      <w:start w:val="1"/>
      <w:numFmt w:val="bullet"/>
      <w:lvlText w:val="-"/>
      <w:lvlJc w:val="left"/>
      <w:pPr>
        <w:ind w:left="1428" w:hanging="360"/>
      </w:pPr>
      <w:rPr>
        <w:rFonts w:ascii="Proxy 9" w:hAnsi="Proxy 9"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4A0868F9"/>
    <w:multiLevelType w:val="hybridMultilevel"/>
    <w:tmpl w:val="B6243BFE"/>
    <w:lvl w:ilvl="0" w:tplc="EDC8A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C977B78"/>
    <w:multiLevelType w:val="hybridMultilevel"/>
    <w:tmpl w:val="0444E89C"/>
    <w:lvl w:ilvl="0" w:tplc="0BAAEC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FB104C"/>
    <w:multiLevelType w:val="hybridMultilevel"/>
    <w:tmpl w:val="B726D6E8"/>
    <w:lvl w:ilvl="0" w:tplc="FC3644A8">
      <w:start w:val="1"/>
      <w:numFmt w:val="bullet"/>
      <w:lvlText w:val=""/>
      <w:lvlJc w:val="left"/>
      <w:pPr>
        <w:ind w:left="360" w:hanging="360"/>
      </w:pPr>
      <w:rPr>
        <w:rFonts w:ascii="Symbol" w:hAnsi="Symbol" w:hint="default"/>
      </w:rPr>
    </w:lvl>
    <w:lvl w:ilvl="1" w:tplc="FC3644A8">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1E2142E"/>
    <w:multiLevelType w:val="multilevel"/>
    <w:tmpl w:val="04B4BF14"/>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5BF4A3B"/>
    <w:multiLevelType w:val="hybridMultilevel"/>
    <w:tmpl w:val="EA94DDD8"/>
    <w:lvl w:ilvl="0" w:tplc="FC3644A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57C8570B"/>
    <w:multiLevelType w:val="hybridMultilevel"/>
    <w:tmpl w:val="339C70C0"/>
    <w:lvl w:ilvl="0" w:tplc="FC364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92764B1"/>
    <w:multiLevelType w:val="hybridMultilevel"/>
    <w:tmpl w:val="47700CAC"/>
    <w:lvl w:ilvl="0" w:tplc="E364316A">
      <w:start w:val="1"/>
      <w:numFmt w:val="bullet"/>
      <w:lvlText w:val="-"/>
      <w:lvlJc w:val="left"/>
      <w:pPr>
        <w:ind w:left="360" w:hanging="360"/>
      </w:pPr>
      <w:rPr>
        <w:rFonts w:ascii="Courier New" w:hAnsi="Courier New"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 w15:restartNumberingAfterBreak="0">
    <w:nsid w:val="5C491DDF"/>
    <w:multiLevelType w:val="hybridMultilevel"/>
    <w:tmpl w:val="6A3AD3F0"/>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83511B"/>
    <w:multiLevelType w:val="hybridMultilevel"/>
    <w:tmpl w:val="93966C0A"/>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2F931A2"/>
    <w:multiLevelType w:val="hybridMultilevel"/>
    <w:tmpl w:val="A12C8E8A"/>
    <w:lvl w:ilvl="0" w:tplc="646AA0F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5" w15:restartNumberingAfterBreak="0">
    <w:nsid w:val="648D4CEB"/>
    <w:multiLevelType w:val="hybridMultilevel"/>
    <w:tmpl w:val="43F8DAEA"/>
    <w:lvl w:ilvl="0" w:tplc="04150001">
      <w:start w:val="1"/>
      <w:numFmt w:val="bullet"/>
      <w:lvlText w:val="-"/>
      <w:lvlJc w:val="left"/>
      <w:pPr>
        <w:ind w:left="1428" w:hanging="360"/>
      </w:pPr>
      <w:rPr>
        <w:rFonts w:ascii="Proxy 9" w:hAnsi="Proxy 9"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69216D85"/>
    <w:multiLevelType w:val="hybridMultilevel"/>
    <w:tmpl w:val="C3F8A234"/>
    <w:lvl w:ilvl="0" w:tplc="04150001">
      <w:start w:val="1"/>
      <w:numFmt w:val="bullet"/>
      <w:lvlText w:val="-"/>
      <w:lvlJc w:val="left"/>
      <w:pPr>
        <w:ind w:left="1428" w:hanging="360"/>
      </w:pPr>
      <w:rPr>
        <w:rFonts w:ascii="Proxy 9" w:hAnsi="Proxy 9"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6F31720C"/>
    <w:multiLevelType w:val="hybridMultilevel"/>
    <w:tmpl w:val="F410C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01165123">
    <w:abstractNumId w:val="13"/>
  </w:num>
  <w:num w:numId="2" w16cid:durableId="95102983">
    <w:abstractNumId w:val="17"/>
  </w:num>
  <w:num w:numId="3" w16cid:durableId="1976718904">
    <w:abstractNumId w:val="19"/>
  </w:num>
  <w:num w:numId="4" w16cid:durableId="961115597">
    <w:abstractNumId w:val="20"/>
  </w:num>
  <w:num w:numId="5" w16cid:durableId="1594514120">
    <w:abstractNumId w:val="23"/>
  </w:num>
  <w:num w:numId="6" w16cid:durableId="643656332">
    <w:abstractNumId w:val="11"/>
  </w:num>
  <w:num w:numId="7" w16cid:durableId="1192256793">
    <w:abstractNumId w:val="5"/>
  </w:num>
  <w:num w:numId="8" w16cid:durableId="843009801">
    <w:abstractNumId w:val="21"/>
  </w:num>
  <w:num w:numId="9" w16cid:durableId="1692607885">
    <w:abstractNumId w:val="27"/>
  </w:num>
  <w:num w:numId="10" w16cid:durableId="1612281444">
    <w:abstractNumId w:val="4"/>
  </w:num>
  <w:num w:numId="11" w16cid:durableId="1434013818">
    <w:abstractNumId w:val="16"/>
  </w:num>
  <w:num w:numId="12" w16cid:durableId="200174535">
    <w:abstractNumId w:val="10"/>
  </w:num>
  <w:num w:numId="13" w16cid:durableId="951089063">
    <w:abstractNumId w:val="15"/>
  </w:num>
  <w:num w:numId="14" w16cid:durableId="133643800">
    <w:abstractNumId w:val="0"/>
  </w:num>
  <w:num w:numId="15" w16cid:durableId="1843740408">
    <w:abstractNumId w:val="1"/>
  </w:num>
  <w:num w:numId="16" w16cid:durableId="1178303355">
    <w:abstractNumId w:val="2"/>
  </w:num>
  <w:num w:numId="17" w16cid:durableId="1906717037">
    <w:abstractNumId w:val="9"/>
  </w:num>
  <w:num w:numId="18" w16cid:durableId="1870141744">
    <w:abstractNumId w:val="12"/>
  </w:num>
  <w:num w:numId="19" w16cid:durableId="1980063300">
    <w:abstractNumId w:val="8"/>
  </w:num>
  <w:num w:numId="20" w16cid:durableId="789864240">
    <w:abstractNumId w:val="22"/>
  </w:num>
  <w:num w:numId="21" w16cid:durableId="373621258">
    <w:abstractNumId w:val="24"/>
  </w:num>
  <w:num w:numId="22" w16cid:durableId="1065030031">
    <w:abstractNumId w:val="7"/>
  </w:num>
  <w:num w:numId="23" w16cid:durableId="1407609816">
    <w:abstractNumId w:val="3"/>
  </w:num>
  <w:num w:numId="24" w16cid:durableId="519658214">
    <w:abstractNumId w:val="25"/>
  </w:num>
  <w:num w:numId="25" w16cid:durableId="1713118197">
    <w:abstractNumId w:val="26"/>
  </w:num>
  <w:num w:numId="26" w16cid:durableId="1094202181">
    <w:abstractNumId w:val="6"/>
  </w:num>
  <w:num w:numId="27" w16cid:durableId="198710275">
    <w:abstractNumId w:val="14"/>
  </w:num>
  <w:num w:numId="28" w16cid:durableId="153953869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80F"/>
    <w:rsid w:val="00007DBB"/>
    <w:rsid w:val="00010E17"/>
    <w:rsid w:val="00020F17"/>
    <w:rsid w:val="0002294F"/>
    <w:rsid w:val="00023EF9"/>
    <w:rsid w:val="00023F98"/>
    <w:rsid w:val="0002641D"/>
    <w:rsid w:val="00045950"/>
    <w:rsid w:val="00046958"/>
    <w:rsid w:val="00050CD8"/>
    <w:rsid w:val="00055501"/>
    <w:rsid w:val="00072C45"/>
    <w:rsid w:val="0008611F"/>
    <w:rsid w:val="000A190E"/>
    <w:rsid w:val="000A646B"/>
    <w:rsid w:val="000B7DD6"/>
    <w:rsid w:val="000D50EE"/>
    <w:rsid w:val="000E1ADC"/>
    <w:rsid w:val="000E47AA"/>
    <w:rsid w:val="00100090"/>
    <w:rsid w:val="00107CF1"/>
    <w:rsid w:val="00120C97"/>
    <w:rsid w:val="00133E5F"/>
    <w:rsid w:val="00143BD0"/>
    <w:rsid w:val="00144D3D"/>
    <w:rsid w:val="001748CC"/>
    <w:rsid w:val="00197AAF"/>
    <w:rsid w:val="00197FDB"/>
    <w:rsid w:val="001A7CC7"/>
    <w:rsid w:val="001C0C8B"/>
    <w:rsid w:val="001D6E77"/>
    <w:rsid w:val="002129B4"/>
    <w:rsid w:val="0021655A"/>
    <w:rsid w:val="0022527F"/>
    <w:rsid w:val="00227531"/>
    <w:rsid w:val="0023177C"/>
    <w:rsid w:val="002444AC"/>
    <w:rsid w:val="00250208"/>
    <w:rsid w:val="0025747B"/>
    <w:rsid w:val="00267E8C"/>
    <w:rsid w:val="002727D2"/>
    <w:rsid w:val="0029023F"/>
    <w:rsid w:val="00294203"/>
    <w:rsid w:val="002B6CA2"/>
    <w:rsid w:val="002D1CC9"/>
    <w:rsid w:val="002E1ACF"/>
    <w:rsid w:val="0030348B"/>
    <w:rsid w:val="00313A1B"/>
    <w:rsid w:val="0031733D"/>
    <w:rsid w:val="00322A55"/>
    <w:rsid w:val="00343280"/>
    <w:rsid w:val="00354DC0"/>
    <w:rsid w:val="00355D29"/>
    <w:rsid w:val="00374B62"/>
    <w:rsid w:val="003A0EA4"/>
    <w:rsid w:val="003A34AF"/>
    <w:rsid w:val="003B4246"/>
    <w:rsid w:val="003D0F73"/>
    <w:rsid w:val="003E46DD"/>
    <w:rsid w:val="003E4EFA"/>
    <w:rsid w:val="003F6F43"/>
    <w:rsid w:val="00400585"/>
    <w:rsid w:val="00422B34"/>
    <w:rsid w:val="00433F8C"/>
    <w:rsid w:val="00452A9D"/>
    <w:rsid w:val="004564A2"/>
    <w:rsid w:val="004569ED"/>
    <w:rsid w:val="00466E86"/>
    <w:rsid w:val="00474AFC"/>
    <w:rsid w:val="004947B0"/>
    <w:rsid w:val="004A395C"/>
    <w:rsid w:val="004B0B5F"/>
    <w:rsid w:val="004C4A17"/>
    <w:rsid w:val="004D580A"/>
    <w:rsid w:val="004F3DD1"/>
    <w:rsid w:val="004F632C"/>
    <w:rsid w:val="005025C2"/>
    <w:rsid w:val="00513189"/>
    <w:rsid w:val="005140B4"/>
    <w:rsid w:val="00523C4D"/>
    <w:rsid w:val="00557FB3"/>
    <w:rsid w:val="00567CD3"/>
    <w:rsid w:val="00570460"/>
    <w:rsid w:val="00577272"/>
    <w:rsid w:val="00586C6C"/>
    <w:rsid w:val="00591E10"/>
    <w:rsid w:val="00595ADB"/>
    <w:rsid w:val="005B4E9D"/>
    <w:rsid w:val="005B5485"/>
    <w:rsid w:val="005C1DB5"/>
    <w:rsid w:val="005D1E95"/>
    <w:rsid w:val="00611AD4"/>
    <w:rsid w:val="00611C9C"/>
    <w:rsid w:val="00630B9D"/>
    <w:rsid w:val="00660685"/>
    <w:rsid w:val="00671829"/>
    <w:rsid w:val="006829FB"/>
    <w:rsid w:val="006917A3"/>
    <w:rsid w:val="006960F5"/>
    <w:rsid w:val="00696675"/>
    <w:rsid w:val="006A38FB"/>
    <w:rsid w:val="006A6EB3"/>
    <w:rsid w:val="006C2F10"/>
    <w:rsid w:val="006C2FE6"/>
    <w:rsid w:val="006C6CF4"/>
    <w:rsid w:val="006D03AC"/>
    <w:rsid w:val="006D0D6F"/>
    <w:rsid w:val="006D2535"/>
    <w:rsid w:val="006E45B3"/>
    <w:rsid w:val="006F1ADA"/>
    <w:rsid w:val="006F2A01"/>
    <w:rsid w:val="00711F34"/>
    <w:rsid w:val="00712B47"/>
    <w:rsid w:val="00720394"/>
    <w:rsid w:val="007237E7"/>
    <w:rsid w:val="00724F28"/>
    <w:rsid w:val="00725F64"/>
    <w:rsid w:val="00741F03"/>
    <w:rsid w:val="00753ABB"/>
    <w:rsid w:val="007605F5"/>
    <w:rsid w:val="007614B7"/>
    <w:rsid w:val="00764C95"/>
    <w:rsid w:val="00765721"/>
    <w:rsid w:val="0078009B"/>
    <w:rsid w:val="007844E6"/>
    <w:rsid w:val="00784E42"/>
    <w:rsid w:val="00796469"/>
    <w:rsid w:val="007A2C9C"/>
    <w:rsid w:val="007A6B17"/>
    <w:rsid w:val="007B54BD"/>
    <w:rsid w:val="007B7EC6"/>
    <w:rsid w:val="007D3B14"/>
    <w:rsid w:val="007E53BE"/>
    <w:rsid w:val="008004A3"/>
    <w:rsid w:val="00810B64"/>
    <w:rsid w:val="0081133F"/>
    <w:rsid w:val="00823DCC"/>
    <w:rsid w:val="00823F71"/>
    <w:rsid w:val="0083287B"/>
    <w:rsid w:val="00837793"/>
    <w:rsid w:val="00855C8B"/>
    <w:rsid w:val="00863A1A"/>
    <w:rsid w:val="00874AC8"/>
    <w:rsid w:val="00876785"/>
    <w:rsid w:val="008843BA"/>
    <w:rsid w:val="00886A4B"/>
    <w:rsid w:val="00890B19"/>
    <w:rsid w:val="00896C63"/>
    <w:rsid w:val="008A1AD4"/>
    <w:rsid w:val="008B2688"/>
    <w:rsid w:val="008B4C34"/>
    <w:rsid w:val="008C1C75"/>
    <w:rsid w:val="008C7CE2"/>
    <w:rsid w:val="008D417D"/>
    <w:rsid w:val="008E19A7"/>
    <w:rsid w:val="008E3891"/>
    <w:rsid w:val="008E4C7F"/>
    <w:rsid w:val="008F2EC9"/>
    <w:rsid w:val="008F33AD"/>
    <w:rsid w:val="009006F0"/>
    <w:rsid w:val="009107FB"/>
    <w:rsid w:val="00927DAA"/>
    <w:rsid w:val="00946E5C"/>
    <w:rsid w:val="00952962"/>
    <w:rsid w:val="00955628"/>
    <w:rsid w:val="00977EB1"/>
    <w:rsid w:val="009834B8"/>
    <w:rsid w:val="009B1E1A"/>
    <w:rsid w:val="009D3664"/>
    <w:rsid w:val="009D7951"/>
    <w:rsid w:val="009F06BE"/>
    <w:rsid w:val="009F1559"/>
    <w:rsid w:val="009F40FC"/>
    <w:rsid w:val="009F625B"/>
    <w:rsid w:val="00A006DC"/>
    <w:rsid w:val="00A402E5"/>
    <w:rsid w:val="00A46125"/>
    <w:rsid w:val="00A477E7"/>
    <w:rsid w:val="00A66D42"/>
    <w:rsid w:val="00A70D65"/>
    <w:rsid w:val="00A81575"/>
    <w:rsid w:val="00A91820"/>
    <w:rsid w:val="00A91E5D"/>
    <w:rsid w:val="00A94CC1"/>
    <w:rsid w:val="00A97376"/>
    <w:rsid w:val="00AA04C4"/>
    <w:rsid w:val="00AA7DA6"/>
    <w:rsid w:val="00AC33F9"/>
    <w:rsid w:val="00AC4AF2"/>
    <w:rsid w:val="00AE1A61"/>
    <w:rsid w:val="00B130B3"/>
    <w:rsid w:val="00B30ECF"/>
    <w:rsid w:val="00B36E42"/>
    <w:rsid w:val="00B428A1"/>
    <w:rsid w:val="00B82537"/>
    <w:rsid w:val="00B90972"/>
    <w:rsid w:val="00B95855"/>
    <w:rsid w:val="00BB0241"/>
    <w:rsid w:val="00BD66D4"/>
    <w:rsid w:val="00BD7F9F"/>
    <w:rsid w:val="00BF602E"/>
    <w:rsid w:val="00C06391"/>
    <w:rsid w:val="00C32E15"/>
    <w:rsid w:val="00C44911"/>
    <w:rsid w:val="00C67044"/>
    <w:rsid w:val="00C85609"/>
    <w:rsid w:val="00C936E5"/>
    <w:rsid w:val="00C93DA0"/>
    <w:rsid w:val="00C9408D"/>
    <w:rsid w:val="00CA171C"/>
    <w:rsid w:val="00CA2D93"/>
    <w:rsid w:val="00CA74C7"/>
    <w:rsid w:val="00CB36B3"/>
    <w:rsid w:val="00CC1538"/>
    <w:rsid w:val="00CD3C43"/>
    <w:rsid w:val="00CD580F"/>
    <w:rsid w:val="00CF779F"/>
    <w:rsid w:val="00D00507"/>
    <w:rsid w:val="00D229C9"/>
    <w:rsid w:val="00D23D2D"/>
    <w:rsid w:val="00D316AE"/>
    <w:rsid w:val="00D42A0E"/>
    <w:rsid w:val="00D60326"/>
    <w:rsid w:val="00D70D78"/>
    <w:rsid w:val="00D720B6"/>
    <w:rsid w:val="00D75228"/>
    <w:rsid w:val="00D876B9"/>
    <w:rsid w:val="00DC4673"/>
    <w:rsid w:val="00DD725F"/>
    <w:rsid w:val="00DE795C"/>
    <w:rsid w:val="00E0456F"/>
    <w:rsid w:val="00E109DB"/>
    <w:rsid w:val="00E118CB"/>
    <w:rsid w:val="00E535E6"/>
    <w:rsid w:val="00E53690"/>
    <w:rsid w:val="00E605E6"/>
    <w:rsid w:val="00E6745F"/>
    <w:rsid w:val="00E70BF7"/>
    <w:rsid w:val="00EA09D8"/>
    <w:rsid w:val="00EF449B"/>
    <w:rsid w:val="00F17BBF"/>
    <w:rsid w:val="00F20851"/>
    <w:rsid w:val="00F5572C"/>
    <w:rsid w:val="00F62694"/>
    <w:rsid w:val="00F62B0E"/>
    <w:rsid w:val="00F63AD5"/>
    <w:rsid w:val="00F725A1"/>
    <w:rsid w:val="00F73566"/>
    <w:rsid w:val="00F92C69"/>
    <w:rsid w:val="00FA0B78"/>
    <w:rsid w:val="00FA1FFA"/>
    <w:rsid w:val="00FA74D2"/>
    <w:rsid w:val="00FB71B8"/>
    <w:rsid w:val="00FC44AD"/>
    <w:rsid w:val="00FC66C8"/>
    <w:rsid w:val="00FD7DE2"/>
    <w:rsid w:val="00FE319E"/>
    <w:rsid w:val="00FE750D"/>
    <w:rsid w:val="00FF53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BF40"/>
  <w15:docId w15:val="{7DAC88BD-BBDE-4EE8-8062-CEB7040A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7281"/>
    <w:pPr>
      <w:suppressAutoHyphens/>
    </w:pPr>
    <w:rPr>
      <w:rFonts w:ascii="Times New Roman" w:eastAsia="Times New Roman" w:hAnsi="Times New Roman"/>
      <w:color w:val="00000A"/>
      <w:sz w:val="24"/>
      <w:szCs w:val="24"/>
      <w:lang w:eastAsia="ar-SA"/>
    </w:rPr>
  </w:style>
  <w:style w:type="paragraph" w:styleId="Nagwek1">
    <w:name w:val="heading 1"/>
    <w:basedOn w:val="Normalny"/>
    <w:link w:val="Nagwek1Znak"/>
    <w:qFormat/>
    <w:rsid w:val="00AC7281"/>
    <w:pPr>
      <w:keepNext/>
      <w:tabs>
        <w:tab w:val="num" w:pos="426"/>
      </w:tabs>
      <w:ind w:left="426"/>
      <w:jc w:val="center"/>
      <w:outlineLvl w:val="0"/>
    </w:pPr>
    <w:rPr>
      <w:b/>
      <w:bCs/>
      <w:sz w:val="28"/>
    </w:rPr>
  </w:style>
  <w:style w:type="paragraph" w:styleId="Nagwek2">
    <w:name w:val="heading 2"/>
    <w:basedOn w:val="Normalny"/>
    <w:link w:val="Nagwek2Znak"/>
    <w:qFormat/>
    <w:rsid w:val="00AC7281"/>
    <w:pPr>
      <w:keepNext/>
      <w:tabs>
        <w:tab w:val="num" w:pos="426"/>
      </w:tabs>
      <w:spacing w:line="360" w:lineRule="auto"/>
      <w:ind w:left="426"/>
      <w:jc w:val="center"/>
      <w:outlineLvl w:val="1"/>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C7281"/>
    <w:rPr>
      <w:rFonts w:ascii="Times New Roman" w:eastAsia="Times New Roman" w:hAnsi="Times New Roman"/>
      <w:b/>
      <w:bCs/>
      <w:color w:val="00000A"/>
      <w:sz w:val="28"/>
      <w:szCs w:val="24"/>
      <w:lang w:eastAsia="ar-SA"/>
    </w:rPr>
  </w:style>
  <w:style w:type="character" w:customStyle="1" w:styleId="Nagwek2Znak">
    <w:name w:val="Nagłówek 2 Znak"/>
    <w:basedOn w:val="Domylnaczcionkaakapitu"/>
    <w:link w:val="Nagwek2"/>
    <w:qFormat/>
    <w:rsid w:val="00AC7281"/>
    <w:rPr>
      <w:rFonts w:ascii="Times New Roman" w:eastAsia="Times New Roman" w:hAnsi="Times New Roman"/>
      <w:b/>
      <w:bCs/>
      <w:color w:val="00000A"/>
      <w:sz w:val="28"/>
      <w:szCs w:val="24"/>
      <w:lang w:eastAsia="ar-SA"/>
    </w:rPr>
  </w:style>
  <w:style w:type="character" w:customStyle="1" w:styleId="TekstpodstawowywcityZnak">
    <w:name w:val="Tekst podstawowy wcięty Znak"/>
    <w:basedOn w:val="Domylnaczcionkaakapitu"/>
    <w:link w:val="Wcicietrecitekstu"/>
    <w:qFormat/>
    <w:rsid w:val="00AC7281"/>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AC7281"/>
    <w:rPr>
      <w:rFonts w:ascii="Times New Roman" w:eastAsia="Times New Roman" w:hAnsi="Times New Roman" w:cs="Times New Roman"/>
      <w:sz w:val="24"/>
      <w:szCs w:val="24"/>
      <w:lang w:eastAsia="ar-SA"/>
    </w:rPr>
  </w:style>
  <w:style w:type="character" w:customStyle="1" w:styleId="ListLabel1">
    <w:name w:val="ListLabel 1"/>
    <w:qFormat/>
    <w:rPr>
      <w:rFonts w:cs="Courier New"/>
    </w:rPr>
  </w:style>
  <w:style w:type="character" w:customStyle="1" w:styleId="ListLabel2">
    <w:name w:val="ListLabel 2"/>
    <w:qFormat/>
    <w:rPr>
      <w:rFonts w:cs="StarSymbol"/>
      <w:sz w:val="18"/>
      <w:szCs w:val="18"/>
    </w:rPr>
  </w:style>
  <w:style w:type="character" w:customStyle="1" w:styleId="ListLabel3">
    <w:name w:val="ListLabel 3"/>
    <w:qFormat/>
    <w:rPr>
      <w:sz w:val="20"/>
    </w:rPr>
  </w:style>
  <w:style w:type="character" w:customStyle="1" w:styleId="ListLabel4">
    <w:name w:val="ListLabel 4"/>
    <w:rPr>
      <w:sz w:val="20"/>
    </w:rPr>
  </w:style>
  <w:style w:type="character" w:customStyle="1" w:styleId="ListLabel5">
    <w:name w:val="ListLabel 5"/>
    <w:rPr>
      <w:rFonts w:cs="Courier New"/>
    </w:rPr>
  </w:style>
  <w:style w:type="character" w:customStyle="1" w:styleId="ListLabel6">
    <w:name w:val="ListLabel 6"/>
    <w:rPr>
      <w:rFonts w:cs="StarSymbol"/>
      <w:sz w:val="18"/>
      <w:szCs w:val="18"/>
    </w:rPr>
  </w:style>
  <w:style w:type="character" w:customStyle="1" w:styleId="Znakiwypunktowania">
    <w:name w:val="Znaki wypunktowania"/>
    <w:rPr>
      <w:rFonts w:ascii="OpenSymbol" w:eastAsia="OpenSymbol" w:hAnsi="OpenSymbol" w:cs="OpenSymbol"/>
    </w:rPr>
  </w:style>
  <w:style w:type="character" w:customStyle="1" w:styleId="ListLabel151">
    <w:name w:val="ListLabel 151"/>
    <w:rPr>
      <w:rFonts w:cs="Symbol"/>
    </w:rPr>
  </w:style>
  <w:style w:type="character" w:customStyle="1" w:styleId="ListLabel152">
    <w:name w:val="ListLabel 152"/>
    <w:rPr>
      <w:rFonts w:cs="OpenSymbol"/>
    </w:rPr>
  </w:style>
  <w:style w:type="paragraph" w:styleId="Nagwek">
    <w:name w:val="header"/>
    <w:basedOn w:val="Normalny"/>
    <w:next w:val="Tretekstu"/>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Wcicietrecitekstu">
    <w:name w:val="Wcięcie treści tekstu"/>
    <w:basedOn w:val="Normalny"/>
    <w:link w:val="TekstpodstawowywcityZnak"/>
    <w:uiPriority w:val="99"/>
    <w:unhideWhenUsed/>
    <w:rsid w:val="00AC7281"/>
    <w:pPr>
      <w:spacing w:after="120"/>
      <w:ind w:left="283"/>
    </w:pPr>
  </w:style>
  <w:style w:type="paragraph" w:styleId="Stopka">
    <w:name w:val="footer"/>
    <w:basedOn w:val="Normalny"/>
    <w:link w:val="StopkaZnak"/>
    <w:uiPriority w:val="99"/>
    <w:unhideWhenUsed/>
    <w:rsid w:val="00AC7281"/>
    <w:pPr>
      <w:tabs>
        <w:tab w:val="center" w:pos="4536"/>
        <w:tab w:val="right" w:pos="9072"/>
      </w:tabs>
    </w:pPr>
  </w:style>
  <w:style w:type="paragraph" w:styleId="Tekstpodstawowywcity">
    <w:name w:val="Body Text Indent"/>
    <w:basedOn w:val="Normalny"/>
    <w:link w:val="TekstpodstawowywcityZnak1"/>
    <w:semiHidden/>
    <w:rsid w:val="003A0EA4"/>
    <w:pPr>
      <w:spacing w:line="360" w:lineRule="auto"/>
      <w:ind w:firstLine="708"/>
      <w:jc w:val="both"/>
    </w:pPr>
    <w:rPr>
      <w:color w:val="auto"/>
    </w:rPr>
  </w:style>
  <w:style w:type="character" w:customStyle="1" w:styleId="TekstpodstawowywcityZnak1">
    <w:name w:val="Tekst podstawowy wcięty Znak1"/>
    <w:basedOn w:val="Domylnaczcionkaakapitu"/>
    <w:link w:val="Tekstpodstawowywcity"/>
    <w:semiHidden/>
    <w:rsid w:val="003A0EA4"/>
    <w:rPr>
      <w:rFonts w:ascii="Times New Roman" w:eastAsia="Times New Roman" w:hAnsi="Times New Roman"/>
      <w:sz w:val="24"/>
      <w:szCs w:val="24"/>
      <w:lang w:eastAsia="ar-SA"/>
    </w:rPr>
  </w:style>
  <w:style w:type="paragraph" w:styleId="Akapitzlist">
    <w:name w:val="List Paragraph"/>
    <w:aliases w:val="Eko punkty,podpunkt,BulletC,Obiekt,List Paragraph1,List Paragraph,Akapit z listą1,Numerowanie,L1,NOWY,Kolorowa lista — akcent 11,Wypunktowanie,Akapit z listą11,Akapit z listą3,normalny,Normal,Wyliczanie,Akapit z listą31,Bullets,AS"/>
    <w:basedOn w:val="Normalny"/>
    <w:link w:val="AkapitzlistZnak"/>
    <w:uiPriority w:val="34"/>
    <w:qFormat/>
    <w:rsid w:val="003A0EA4"/>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Default">
    <w:name w:val="Default"/>
    <w:qFormat/>
    <w:rsid w:val="00A46125"/>
    <w:pPr>
      <w:autoSpaceDE w:val="0"/>
      <w:autoSpaceDN w:val="0"/>
      <w:adjustRightInd w:val="0"/>
    </w:pPr>
    <w:rPr>
      <w:rFonts w:ascii="Times New Roman" w:hAnsi="Times New Roman"/>
      <w:color w:val="000000"/>
      <w:sz w:val="24"/>
      <w:szCs w:val="24"/>
    </w:rPr>
  </w:style>
  <w:style w:type="paragraph" w:styleId="Tekstdymka">
    <w:name w:val="Balloon Text"/>
    <w:basedOn w:val="Normalny"/>
    <w:link w:val="TekstdymkaZnak"/>
    <w:uiPriority w:val="99"/>
    <w:semiHidden/>
    <w:unhideWhenUsed/>
    <w:rsid w:val="00197AAF"/>
    <w:rPr>
      <w:rFonts w:ascii="Tahoma" w:hAnsi="Tahoma" w:cs="Tahoma"/>
      <w:sz w:val="16"/>
      <w:szCs w:val="16"/>
    </w:rPr>
  </w:style>
  <w:style w:type="character" w:customStyle="1" w:styleId="TekstdymkaZnak">
    <w:name w:val="Tekst dymka Znak"/>
    <w:basedOn w:val="Domylnaczcionkaakapitu"/>
    <w:link w:val="Tekstdymka"/>
    <w:uiPriority w:val="99"/>
    <w:semiHidden/>
    <w:rsid w:val="00197AAF"/>
    <w:rPr>
      <w:rFonts w:ascii="Tahoma" w:eastAsia="Times New Roman" w:hAnsi="Tahoma" w:cs="Tahoma"/>
      <w:color w:val="00000A"/>
      <w:sz w:val="16"/>
      <w:szCs w:val="16"/>
      <w:lang w:eastAsia="ar-SA"/>
    </w:rPr>
  </w:style>
  <w:style w:type="character" w:customStyle="1" w:styleId="AkapitzlistZnak">
    <w:name w:val="Akapit z listą Znak"/>
    <w:aliases w:val="Eko punkty Znak,podpunkt Znak,BulletC Znak,Obiekt Znak,List Paragraph1 Znak,List Paragraph Znak,Akapit z listą1 Znak,Numerowanie Znak,L1 Znak,NOWY Znak,Kolorowa lista — akcent 11 Znak,Wypunktowanie Znak,Akapit z listą11 Znak,AS Znak"/>
    <w:link w:val="Akapitzlist"/>
    <w:uiPriority w:val="34"/>
    <w:qFormat/>
    <w:locked/>
    <w:rsid w:val="009D3664"/>
    <w:rPr>
      <w:rFonts w:asciiTheme="minorHAnsi" w:eastAsiaTheme="minorHAnsi" w:hAnsiTheme="minorHAnsi" w:cstheme="minorBidi"/>
      <w:sz w:val="22"/>
    </w:rPr>
  </w:style>
  <w:style w:type="table" w:styleId="Tabela-Siatka">
    <w:name w:val="Table Grid"/>
    <w:basedOn w:val="Standardowy"/>
    <w:uiPriority w:val="59"/>
    <w:rsid w:val="00B90972"/>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NI No Spacing,TYTUŁY"/>
    <w:link w:val="BezodstpwZnak"/>
    <w:uiPriority w:val="1"/>
    <w:qFormat/>
    <w:rsid w:val="00143BD0"/>
    <w:rPr>
      <w:sz w:val="22"/>
    </w:rPr>
  </w:style>
  <w:style w:type="paragraph" w:styleId="NormalnyWeb">
    <w:name w:val="Normal (Web)"/>
    <w:basedOn w:val="Normalny"/>
    <w:unhideWhenUsed/>
    <w:rsid w:val="00896C63"/>
    <w:pPr>
      <w:suppressAutoHyphens w:val="0"/>
      <w:spacing w:before="100" w:beforeAutospacing="1" w:after="119"/>
    </w:pPr>
    <w:rPr>
      <w:color w:val="auto"/>
      <w:lang w:eastAsia="pl-PL"/>
    </w:rPr>
  </w:style>
  <w:style w:type="character" w:customStyle="1" w:styleId="FontStyle114">
    <w:name w:val="Font Style114"/>
    <w:rsid w:val="00D75228"/>
    <w:rPr>
      <w:rFonts w:ascii="Arial Unicode MS" w:eastAsia="Arial Unicode MS" w:hAnsi="Arial Unicode MS" w:cs="Arial Unicode MS"/>
      <w:color w:val="000000"/>
      <w:sz w:val="20"/>
      <w:szCs w:val="20"/>
    </w:rPr>
  </w:style>
  <w:style w:type="character" w:customStyle="1" w:styleId="BezodstpwZnak">
    <w:name w:val="Bez odstępów Znak"/>
    <w:aliases w:val="NI No Spacing Znak,TYTUŁY Znak"/>
    <w:link w:val="Bezodstpw"/>
    <w:uiPriority w:val="1"/>
    <w:rsid w:val="0002294F"/>
    <w:rPr>
      <w:sz w:val="22"/>
    </w:rPr>
  </w:style>
  <w:style w:type="table" w:customStyle="1" w:styleId="TableNormal">
    <w:name w:val="Table Normal"/>
    <w:uiPriority w:val="2"/>
    <w:semiHidden/>
    <w:unhideWhenUsed/>
    <w:qFormat/>
    <w:rsid w:val="001C0C8B"/>
    <w:pPr>
      <w:widowControl w:val="0"/>
      <w:autoSpaceDE w:val="0"/>
      <w:autoSpaceDN w:val="0"/>
    </w:pPr>
    <w:rPr>
      <w:rFonts w:asciiTheme="minorHAnsi" w:eastAsiaTheme="minorHAnsi" w:hAnsiTheme="minorHAnsi" w:cstheme="minorBid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C0C8B"/>
    <w:pPr>
      <w:widowControl w:val="0"/>
      <w:suppressAutoHyphens w:val="0"/>
      <w:autoSpaceDE w:val="0"/>
      <w:autoSpaceDN w:val="0"/>
    </w:pPr>
    <w:rPr>
      <w:rFonts w:ascii="Arial" w:eastAsia="Arial" w:hAnsi="Arial" w:cs="Arial"/>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FA912-615F-490B-8603-74872DEE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Pages>
  <Words>888</Words>
  <Characters>5329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Wincenty Kołacz</dc:creator>
  <cp:lastModifiedBy>Wincenty Kołacz - UM w Konstantynowie Łódzkim</cp:lastModifiedBy>
  <cp:revision>330</cp:revision>
  <cp:lastPrinted>2023-01-12T08:47:00Z</cp:lastPrinted>
  <dcterms:created xsi:type="dcterms:W3CDTF">2016-03-23T14:37:00Z</dcterms:created>
  <dcterms:modified xsi:type="dcterms:W3CDTF">2023-02-10T12:45:00Z</dcterms:modified>
  <dc:language>pl-PL</dc:language>
</cp:coreProperties>
</file>