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9643" w14:textId="77777777" w:rsidR="003B4246" w:rsidRDefault="003B4246" w:rsidP="003B4246">
      <w:pPr>
        <w:jc w:val="right"/>
      </w:pPr>
      <w:bookmarkStart w:id="0" w:name="_Hlk82519269"/>
      <w:bookmarkStart w:id="1" w:name="_Hlk87433389"/>
      <w:r w:rsidRPr="002D3C10">
        <w:t xml:space="preserve">Konstantynów Łódzki, dn. </w:t>
      </w:r>
      <w:r>
        <w:t>9</w:t>
      </w:r>
      <w:r w:rsidRPr="002D3C10">
        <w:t xml:space="preserve"> </w:t>
      </w:r>
      <w:r>
        <w:t>lutego 2023</w:t>
      </w:r>
      <w:r w:rsidRPr="002D3C10">
        <w:t xml:space="preserve"> r.</w:t>
      </w:r>
    </w:p>
    <w:bookmarkEnd w:id="0"/>
    <w:p w14:paraId="4D272AC0" w14:textId="77777777" w:rsidR="00020F17" w:rsidRPr="002D3C10" w:rsidRDefault="00020F17" w:rsidP="00020F17">
      <w:pPr>
        <w:jc w:val="right"/>
      </w:pPr>
    </w:p>
    <w:p w14:paraId="08046835" w14:textId="3681F407" w:rsidR="003B4246" w:rsidRPr="0009338E" w:rsidRDefault="003B4246" w:rsidP="003B4246">
      <w:pPr>
        <w:pStyle w:val="Tekstpodstawowywcity"/>
        <w:ind w:firstLine="0"/>
        <w:rPr>
          <w:rFonts w:eastAsiaTheme="minorHAnsi"/>
          <w:lang w:eastAsia="en-US"/>
        </w:rPr>
      </w:pPr>
      <w:bookmarkStart w:id="2" w:name="_Hlk80175820"/>
      <w:bookmarkStart w:id="3" w:name="_Hlk95215037"/>
      <w:bookmarkEnd w:id="1"/>
      <w:r>
        <w:rPr>
          <w:rFonts w:eastAsiaTheme="minorHAnsi"/>
          <w:lang w:eastAsia="en-US"/>
        </w:rPr>
        <w:t>OŚ</w:t>
      </w:r>
      <w:r w:rsidRPr="00731056">
        <w:rPr>
          <w:rFonts w:eastAsiaTheme="minorHAnsi"/>
          <w:lang w:eastAsia="en-US"/>
        </w:rPr>
        <w:t>.6220.</w:t>
      </w:r>
      <w:r>
        <w:rPr>
          <w:rFonts w:eastAsiaTheme="minorHAnsi"/>
          <w:lang w:eastAsia="en-US"/>
        </w:rPr>
        <w:t>39-18-1.2022.WK</w:t>
      </w:r>
      <w:bookmarkEnd w:id="2"/>
    </w:p>
    <w:bookmarkEnd w:id="3"/>
    <w:p w14:paraId="731D4BF7" w14:textId="333C950D" w:rsidR="00CD580F" w:rsidRDefault="007A6B17" w:rsidP="00007DBB">
      <w:pPr>
        <w:rPr>
          <w:b/>
          <w:bCs/>
          <w:lang w:val="de-DE"/>
        </w:rPr>
      </w:pPr>
      <w:r>
        <w:rPr>
          <w:b/>
          <w:bCs/>
        </w:rPr>
        <w:t xml:space="preserve">Załącznik do decyzji nr </w:t>
      </w:r>
      <w:r w:rsidR="003B4246" w:rsidRPr="003B4246">
        <w:rPr>
          <w:b/>
          <w:bCs/>
        </w:rPr>
        <w:t>OŚ.6220.39-18.2022.WK</w:t>
      </w:r>
    </w:p>
    <w:p w14:paraId="45F83991" w14:textId="77777777" w:rsidR="00CD580F" w:rsidRDefault="00CD580F" w:rsidP="00B95855">
      <w:pPr>
        <w:rPr>
          <w:b/>
        </w:rPr>
      </w:pPr>
    </w:p>
    <w:p w14:paraId="5EC54CCF" w14:textId="63EB8EF1" w:rsidR="00CD580F" w:rsidRDefault="007A6B17" w:rsidP="00343280">
      <w:pPr>
        <w:jc w:val="both"/>
        <w:rPr>
          <w:b/>
        </w:rPr>
      </w:pPr>
      <w:r>
        <w:rPr>
          <w:b/>
        </w:rPr>
        <w:t xml:space="preserve">Charakterystyka planowanego przedsięwzięcia </w:t>
      </w:r>
      <w:r w:rsidR="00343280">
        <w:rPr>
          <w:b/>
        </w:rPr>
        <w:t xml:space="preserve">zgodnie z art. 82 ust. 3 ustawy </w:t>
      </w:r>
      <w:r>
        <w:rPr>
          <w:b/>
        </w:rPr>
        <w:t xml:space="preserve">o udostępnianiu informacji o środowisku i jego ochronie, udziale społeczeństwa w ochronie środowiska oraz o ocenach oddziaływania na środowisko </w:t>
      </w:r>
      <w:r w:rsidR="00CA2D93" w:rsidRPr="00CA2D93">
        <w:rPr>
          <w:b/>
        </w:rPr>
        <w:t>(</w:t>
      </w:r>
      <w:proofErr w:type="spellStart"/>
      <w:r w:rsidR="00CA2D93" w:rsidRPr="00CA2D93">
        <w:rPr>
          <w:b/>
        </w:rPr>
        <w:t>t.j</w:t>
      </w:r>
      <w:proofErr w:type="spellEnd"/>
      <w:r w:rsidR="00CA2D93" w:rsidRPr="00CA2D93">
        <w:rPr>
          <w:b/>
        </w:rPr>
        <w:t>. Dz. U. 2021 poz. 247 ze zm.)</w:t>
      </w:r>
    </w:p>
    <w:p w14:paraId="522098EF" w14:textId="77777777" w:rsidR="00E53690" w:rsidRDefault="00E53690" w:rsidP="00886A4B">
      <w:pPr>
        <w:tabs>
          <w:tab w:val="left" w:pos="426"/>
        </w:tabs>
        <w:jc w:val="both"/>
      </w:pPr>
    </w:p>
    <w:p w14:paraId="0C853D1D" w14:textId="77777777" w:rsidR="001C0C8B" w:rsidRDefault="001C0C8B" w:rsidP="001C0C8B">
      <w:pPr>
        <w:pStyle w:val="Tekstpodstawowywcity"/>
        <w:spacing w:line="240" w:lineRule="auto"/>
        <w:ind w:firstLine="709"/>
      </w:pPr>
      <w:r>
        <w:t xml:space="preserve">Planowane przedsięwzięcie polega na budowie budynku </w:t>
      </w:r>
      <w:proofErr w:type="spellStart"/>
      <w:r>
        <w:t>magazynowo-produkcyjno</w:t>
      </w:r>
      <w:proofErr w:type="spellEnd"/>
      <w:r>
        <w:t>­ biurowego z infrastrukturą w Konstantynowie Łódzkim, przy ul. Księdza Janika 9 (działki nr ew. 60/1, 61/4 i częściowo 62/8, 68/3, 57/3 oraz częściowo dz. dr. 61/3, 131/1, obr.K-18).</w:t>
      </w:r>
    </w:p>
    <w:p w14:paraId="6E8642F2" w14:textId="77777777" w:rsidR="001C0C8B" w:rsidRDefault="001C0C8B" w:rsidP="001C0C8B">
      <w:pPr>
        <w:pStyle w:val="Tekstpodstawowywcity"/>
        <w:spacing w:line="240" w:lineRule="auto"/>
        <w:ind w:firstLine="709"/>
      </w:pPr>
      <w:r>
        <w:t>Dla przedmiotowego terenu obowiązuje miejscowy plan zagospodarowania przestrzennego uchwalony Uchwałą nr L/408/18 Rady Miejskiej w Konstantynowie Łódzkim z dnia 8 listopada 2018 r. wraz ze zmianą zatwierdzoną Uchwałą nr XII/108/19 Rady Miejskiej w Konstantynowie Łódzkim z dnia 24 października 2019 r. Przedsięwzięcie będzie zlokalizowane na terenie oznaczonym w miejscowym planie symbolem 1P, o przeznaczeniu podstawowym - teren zabudowy produkcyjnej, składów i magazynów.</w:t>
      </w:r>
    </w:p>
    <w:p w14:paraId="2FC32DB5" w14:textId="77777777" w:rsidR="001C0C8B" w:rsidRDefault="001C0C8B" w:rsidP="001C0C8B">
      <w:pPr>
        <w:pStyle w:val="Tekstpodstawowywcity"/>
        <w:spacing w:line="240" w:lineRule="auto"/>
        <w:ind w:firstLine="709"/>
      </w:pPr>
      <w:r>
        <w:t>Zakres przedsięwzięcia obejmuje budowę:</w:t>
      </w:r>
    </w:p>
    <w:p w14:paraId="6DBD52E4" w14:textId="77777777" w:rsidR="001C0C8B" w:rsidRDefault="001C0C8B" w:rsidP="001C0C8B">
      <w:pPr>
        <w:pStyle w:val="Tekstpodstawowywcity"/>
        <w:numPr>
          <w:ilvl w:val="0"/>
          <w:numId w:val="23"/>
        </w:numPr>
        <w:spacing w:line="240" w:lineRule="auto"/>
        <w:ind w:left="709"/>
      </w:pPr>
      <w:r>
        <w:t xml:space="preserve">budynku o funkcji </w:t>
      </w:r>
      <w:proofErr w:type="spellStart"/>
      <w:r>
        <w:t>produkcyjno-magazynowo-biurowej</w:t>
      </w:r>
      <w:proofErr w:type="spellEnd"/>
      <w:r>
        <w:t>, w częsc1 magazynowej - parterowego, w części produkcyjno-biurowej - o 3 kondygnacjach naziemnych,</w:t>
      </w:r>
    </w:p>
    <w:p w14:paraId="1321E260" w14:textId="77777777" w:rsidR="001C0C8B" w:rsidRDefault="001C0C8B" w:rsidP="001C0C8B">
      <w:pPr>
        <w:pStyle w:val="Tekstpodstawowywcity"/>
        <w:numPr>
          <w:ilvl w:val="0"/>
          <w:numId w:val="23"/>
        </w:numPr>
        <w:spacing w:line="240" w:lineRule="auto"/>
        <w:ind w:left="709"/>
      </w:pPr>
      <w:r>
        <w:t>dróg, ramp rozładowczych przy dokach, chodników i parkingów dla samochodów osobowych służące komunikacji wewnętrznej,</w:t>
      </w:r>
    </w:p>
    <w:p w14:paraId="15F645EF" w14:textId="77777777" w:rsidR="001C0C8B" w:rsidRDefault="001C0C8B" w:rsidP="001C0C8B">
      <w:pPr>
        <w:pStyle w:val="Tekstpodstawowywcity"/>
        <w:numPr>
          <w:ilvl w:val="0"/>
          <w:numId w:val="23"/>
        </w:numPr>
        <w:spacing w:line="240" w:lineRule="auto"/>
        <w:ind w:left="709"/>
      </w:pPr>
      <w:r>
        <w:t>przebudowę zbiornika wody ppoż.,</w:t>
      </w:r>
    </w:p>
    <w:p w14:paraId="23E59920" w14:textId="77777777" w:rsidR="001C0C8B" w:rsidRDefault="001C0C8B" w:rsidP="001C0C8B">
      <w:pPr>
        <w:pStyle w:val="Tekstpodstawowywcity"/>
        <w:numPr>
          <w:ilvl w:val="0"/>
          <w:numId w:val="23"/>
        </w:numPr>
        <w:spacing w:line="240" w:lineRule="auto"/>
        <w:ind w:left="709"/>
      </w:pPr>
      <w:r>
        <w:t>zbiornika retencyjnego,</w:t>
      </w:r>
    </w:p>
    <w:p w14:paraId="3A30160D" w14:textId="77777777" w:rsidR="001C0C8B" w:rsidRDefault="001C0C8B" w:rsidP="001C0C8B">
      <w:pPr>
        <w:pStyle w:val="Tekstpodstawowywcity"/>
        <w:numPr>
          <w:ilvl w:val="0"/>
          <w:numId w:val="23"/>
        </w:numPr>
        <w:spacing w:line="240" w:lineRule="auto"/>
        <w:ind w:left="709"/>
      </w:pPr>
      <w:r>
        <w:t>infrastruktury instalacyjnej wraz z wykorzystaniem istniejących przyłączy do miejskich sieci.</w:t>
      </w:r>
    </w:p>
    <w:p w14:paraId="61CAB7C1" w14:textId="77777777" w:rsidR="001C0C8B" w:rsidRDefault="001C0C8B" w:rsidP="001C0C8B">
      <w:pPr>
        <w:pStyle w:val="Tekstpodstawowywcity"/>
        <w:spacing w:line="240" w:lineRule="auto"/>
        <w:ind w:firstLine="709"/>
      </w:pPr>
      <w:r>
        <w:t xml:space="preserve">Projektowany budynek będzie wolnostojący, w części magazynowej jednokondygnacyjny, w części 3 kondygnacyjny, bez podpiwniczenia z dachem płaskim (attykowym). Proj. budynek przeznaczony na funkcje magazynowe oraz biurowe z niewielką częścią produkcyjną (projektowanie i drukowanie etykiet). Budynek składa się z części magazynowej i części biurowej, w której na parterze zlokalizowano pomieszczenia techniczne, pomieszczenie przygotowania i drukowania etykiet, część reprezentacyjną. </w:t>
      </w:r>
      <w:r>
        <w:br/>
        <w:t>W obu częściach zapewniono dostęp do zaplecza sanitarnego oraz w części biurowej - socjalnego.</w:t>
      </w:r>
    </w:p>
    <w:p w14:paraId="38F84872" w14:textId="77777777" w:rsidR="001C0C8B" w:rsidRDefault="001C0C8B" w:rsidP="001C0C8B">
      <w:pPr>
        <w:pStyle w:val="Tekstpodstawowywcity"/>
        <w:spacing w:line="240" w:lineRule="auto"/>
        <w:ind w:firstLine="709"/>
      </w:pPr>
      <w:r>
        <w:t>Ponadto przy istniejącym wjeździe i projektowanym dojściu pieszym przewiduje się lokalizację wolnostojącego, kontenerowego budynku ochrony obiektu</w:t>
      </w:r>
    </w:p>
    <w:p w14:paraId="28001562" w14:textId="77777777" w:rsidR="001C0C8B" w:rsidRDefault="001C0C8B" w:rsidP="001C0C8B">
      <w:pPr>
        <w:pStyle w:val="Tekstpodstawowywcity"/>
        <w:spacing w:line="240" w:lineRule="auto"/>
        <w:ind w:firstLine="709"/>
      </w:pPr>
      <w:r>
        <w:t xml:space="preserve">Dodatkowo projekt przewiduje przebudowę istniejącej wanny na chemikalia (bez zmiany kubatury) przez podniesienie jej ścian w celu wykorzystania jej jako zbiornika wody </w:t>
      </w:r>
      <w:proofErr w:type="spellStart"/>
      <w:r>
        <w:t>d.c</w:t>
      </w:r>
      <w:proofErr w:type="spellEnd"/>
      <w:r>
        <w:t xml:space="preserve">. gaszenia pożaru. Istniejąca wanna na chemikalia zostanie przebudowana na przeciwpożarowy zbiornik wodny </w:t>
      </w:r>
      <w:proofErr w:type="spellStart"/>
      <w:r>
        <w:t>półpodziemny</w:t>
      </w:r>
      <w:proofErr w:type="spellEnd"/>
      <w:r>
        <w:t>. Obecnie istniejąca wanna, w której ustawione były szczelne pojemniki na chemikalia, jest wyłączona z użytkowania. Aby pomieścić wymaganą ilość wody jej ściany zostaną podniesione o 80 cm.</w:t>
      </w:r>
    </w:p>
    <w:p w14:paraId="26410D85" w14:textId="77777777" w:rsidR="001C0C8B" w:rsidRDefault="001C0C8B" w:rsidP="001C0C8B">
      <w:pPr>
        <w:pStyle w:val="Tekstpodstawowywcity"/>
        <w:spacing w:line="240" w:lineRule="auto"/>
        <w:ind w:firstLine="709"/>
      </w:pPr>
      <w:r>
        <w:t xml:space="preserve">Projektowany obiekt z uwagi na uwarunkowania projektowe będzie posiadał na swoim terenie miejsca parkingowe 9la samochodów osobowych w liczbie ok. 2 miejsc parkingowych: Dodatkowo na istniejącym terenie przewidziano wydzielenie 20 miejsc parkingowych dla </w:t>
      </w:r>
      <w:r>
        <w:lastRenderedPageBreak/>
        <w:t>samochodów osobowych oraz 4 miejsca przy rampach rozładowczych przy dokach dla samochodów ciężarowych.</w:t>
      </w:r>
    </w:p>
    <w:p w14:paraId="28B074A5" w14:textId="77777777" w:rsidR="001C0C8B" w:rsidRDefault="001C0C8B" w:rsidP="001C0C8B">
      <w:pPr>
        <w:pStyle w:val="Tekstpodstawowywcity"/>
        <w:spacing w:line="240" w:lineRule="auto"/>
        <w:ind w:firstLine="709"/>
      </w:pPr>
      <w:r>
        <w:t>Teren na którym przewiduje się zrealizować przedmiotowe przedsięwzięcie inwestycyjne położony jest w południowo-wschodniej części m. Konstantynów Łódzki niedaleko granicy miasta Łodzi. Powyższy teren graniczy:</w:t>
      </w:r>
    </w:p>
    <w:p w14:paraId="1477A2CE" w14:textId="77777777" w:rsidR="001C0C8B" w:rsidRDefault="001C0C8B" w:rsidP="001C0C8B">
      <w:pPr>
        <w:pStyle w:val="Tekstpodstawowywcity"/>
        <w:numPr>
          <w:ilvl w:val="0"/>
          <w:numId w:val="22"/>
        </w:numPr>
        <w:spacing w:line="240" w:lineRule="auto"/>
      </w:pPr>
      <w:r>
        <w:t xml:space="preserve">od strony północnej - z terenem istniejącego zakładu, za którym są tereny wolne od zabudowy i obecnie bez działalności gospodarczej w postaci terenu ziemistego </w:t>
      </w:r>
      <w:r>
        <w:br/>
        <w:t>z zielenią,</w:t>
      </w:r>
    </w:p>
    <w:p w14:paraId="4CAD698A" w14:textId="77777777" w:rsidR="001C0C8B" w:rsidRDefault="001C0C8B" w:rsidP="001C0C8B">
      <w:pPr>
        <w:pStyle w:val="Tekstpodstawowywcity"/>
        <w:numPr>
          <w:ilvl w:val="0"/>
          <w:numId w:val="22"/>
        </w:numPr>
        <w:spacing w:line="240" w:lineRule="auto"/>
      </w:pPr>
      <w:r>
        <w:t>od strony wschodniej - bezpośrednio z ul. Ks. Janika, po drugiej stronie której obecnie znajduje się teren wodny od zabudowy i działalności gospodarczej,</w:t>
      </w:r>
    </w:p>
    <w:p w14:paraId="33B6AF85" w14:textId="77777777" w:rsidR="001C0C8B" w:rsidRDefault="001C0C8B" w:rsidP="001C0C8B">
      <w:pPr>
        <w:pStyle w:val="Tekstpodstawowywcity"/>
        <w:numPr>
          <w:ilvl w:val="0"/>
          <w:numId w:val="22"/>
        </w:numPr>
        <w:spacing w:line="240" w:lineRule="auto"/>
      </w:pPr>
      <w:r>
        <w:t>od strony południowej - z firmą GRYFIT,</w:t>
      </w:r>
    </w:p>
    <w:p w14:paraId="027859BC" w14:textId="77777777" w:rsidR="001C0C8B" w:rsidRDefault="001C0C8B" w:rsidP="001C0C8B">
      <w:pPr>
        <w:pStyle w:val="Tekstpodstawowywcity"/>
        <w:numPr>
          <w:ilvl w:val="0"/>
          <w:numId w:val="22"/>
        </w:numPr>
        <w:spacing w:line="240" w:lineRule="auto"/>
      </w:pPr>
      <w:r>
        <w:t xml:space="preserve">od strony zachodniej - z firmami prowadzącymi działalność gospodarczą, </w:t>
      </w:r>
      <w:r>
        <w:br/>
        <w:t xml:space="preserve">a w pierwszej kolejności z firmą </w:t>
      </w:r>
      <w:proofErr w:type="spellStart"/>
      <w:r>
        <w:t>Mabion</w:t>
      </w:r>
      <w:proofErr w:type="spellEnd"/>
      <w:r>
        <w:t xml:space="preserve"> S.A.</w:t>
      </w:r>
    </w:p>
    <w:p w14:paraId="5E1741A9" w14:textId="77777777" w:rsidR="001C0C8B" w:rsidRDefault="001C0C8B" w:rsidP="001C0C8B">
      <w:pPr>
        <w:pStyle w:val="Tekstpodstawowywcity"/>
        <w:spacing w:line="240" w:lineRule="auto"/>
        <w:ind w:firstLine="709"/>
      </w:pPr>
      <w:r>
        <w:t>Firma zlokalizowana jest na terenach przemysłowych dla prowadzenia działalności gospodarczej w Podstrefie Łódzkiej Specjalnej Strefy Ekonomicznej.</w:t>
      </w:r>
    </w:p>
    <w:p w14:paraId="3D3ECB5C" w14:textId="77777777" w:rsidR="001C0C8B" w:rsidRDefault="001C0C8B" w:rsidP="001C0C8B">
      <w:pPr>
        <w:pStyle w:val="Tekstpodstawowywcity"/>
        <w:spacing w:line="240" w:lineRule="auto"/>
        <w:ind w:firstLine="709"/>
      </w:pPr>
      <w:r>
        <w:t xml:space="preserve">Dojazd do przedsięwzięcia inwestycyjnego realizowany będzie z ul. Janika poprzez </w:t>
      </w:r>
      <w:r>
        <w:br/>
        <w:t>2 istniejące na terenie zakładu zjazdy.</w:t>
      </w:r>
    </w:p>
    <w:p w14:paraId="2D0C6689" w14:textId="77777777" w:rsidR="001C0C8B" w:rsidRDefault="001C0C8B" w:rsidP="001C0C8B">
      <w:pPr>
        <w:pStyle w:val="Tekstpodstawowywcity"/>
        <w:spacing w:line="240" w:lineRule="auto"/>
        <w:ind w:firstLine="709"/>
      </w:pPr>
      <w:r>
        <w:t xml:space="preserve">Obecnie na terenie przedsięwzięcia znajduje się zespół budynków </w:t>
      </w:r>
      <w:proofErr w:type="spellStart"/>
      <w:r>
        <w:t>produkcyjno­</w:t>
      </w:r>
      <w:proofErr w:type="spellEnd"/>
      <w:r>
        <w:t xml:space="preserve"> </w:t>
      </w:r>
      <w:proofErr w:type="spellStart"/>
      <w:r>
        <w:t>magazynowo-biurowych</w:t>
      </w:r>
      <w:proofErr w:type="spellEnd"/>
      <w:r>
        <w:t xml:space="preserve">, 3 parterowe wiaty gospodarcze nietrwale związane z gruntem (przeznaczone do demontażu), 2 kontenery przeznaczone do usunięcia, wyłączona </w:t>
      </w:r>
      <w:r>
        <w:br/>
        <w:t>z użytkowania wanna na szczelne zbiorniki z chemikaliami (przeznaczona do przebudowy na zbiornik ppoż.) oraz niewielki budynek materiałów niebezpiecznych.</w:t>
      </w:r>
    </w:p>
    <w:p w14:paraId="4FC64EA4" w14:textId="77777777" w:rsidR="001C0C8B" w:rsidRDefault="001C0C8B" w:rsidP="001C0C8B">
      <w:pPr>
        <w:pStyle w:val="Tekstpodstawowywcity"/>
        <w:spacing w:line="240" w:lineRule="auto"/>
        <w:ind w:firstLine="709"/>
      </w:pPr>
      <w:r>
        <w:t>Bilans terenu przedsięwzięcia będzie następujący:</w:t>
      </w:r>
    </w:p>
    <w:tbl>
      <w:tblPr>
        <w:tblStyle w:val="TableNormal"/>
        <w:tblW w:w="9506" w:type="dxa"/>
        <w:tblInd w:w="-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086"/>
        <w:gridCol w:w="2425"/>
        <w:gridCol w:w="2151"/>
      </w:tblGrid>
      <w:tr w:rsidR="001C0C8B" w14:paraId="7A4CD997" w14:textId="77777777" w:rsidTr="00944D91">
        <w:trPr>
          <w:trHeight w:val="546"/>
        </w:trPr>
        <w:tc>
          <w:tcPr>
            <w:tcW w:w="2844" w:type="dxa"/>
          </w:tcPr>
          <w:p w14:paraId="05C3BE40" w14:textId="77777777" w:rsidR="001C0C8B" w:rsidRPr="00CB6BAA" w:rsidRDefault="001C0C8B" w:rsidP="00944D9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1665A77" w14:textId="77777777" w:rsidR="001C0C8B" w:rsidRPr="00CB6BAA" w:rsidRDefault="001C0C8B" w:rsidP="00944D91">
            <w:pPr>
              <w:pStyle w:val="TableParagraph"/>
              <w:spacing w:before="47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w w:val="105"/>
                <w:sz w:val="20"/>
                <w:szCs w:val="20"/>
              </w:rPr>
              <w:t>Stan</w:t>
            </w:r>
            <w:r w:rsidRPr="00CB6BAA">
              <w:rPr>
                <w:rFonts w:ascii="Times New Roman" w:hAnsi="Times New Roman" w:cs="Times New Roman"/>
                <w:color w:val="1A1A1A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A1A1A"/>
                <w:w w:val="105"/>
                <w:sz w:val="20"/>
                <w:szCs w:val="20"/>
              </w:rPr>
              <w:t>istniejący</w:t>
            </w:r>
            <w:proofErr w:type="spellEnd"/>
            <w:r w:rsidRPr="00CB6BAA">
              <w:rPr>
                <w:rFonts w:ascii="Times New Roman" w:hAnsi="Times New Roman" w:cs="Times New Roman"/>
                <w:color w:val="1A1A1A"/>
                <w:w w:val="105"/>
                <w:sz w:val="20"/>
                <w:szCs w:val="20"/>
              </w:rPr>
              <w:t xml:space="preserve"> </w:t>
            </w:r>
            <w:r w:rsidRPr="00CB6BAA">
              <w:rPr>
                <w:rFonts w:ascii="Times New Roman" w:hAnsi="Times New Roman" w:cs="Times New Roman"/>
                <w:color w:val="1A1A1A"/>
                <w:spacing w:val="-4"/>
                <w:w w:val="105"/>
                <w:sz w:val="20"/>
                <w:szCs w:val="20"/>
              </w:rPr>
              <w:t>[m</w:t>
            </w:r>
            <w:r w:rsidRPr="00CB6BAA">
              <w:rPr>
                <w:rFonts w:ascii="Times New Roman" w:hAnsi="Times New Roman" w:cs="Times New Roman"/>
                <w:color w:val="1A1A1A"/>
                <w:spacing w:val="-4"/>
                <w:w w:val="105"/>
                <w:sz w:val="20"/>
                <w:szCs w:val="20"/>
                <w:vertAlign w:val="superscript"/>
              </w:rPr>
              <w:t>2</w:t>
            </w:r>
            <w:r w:rsidRPr="00CB6BAA">
              <w:rPr>
                <w:rFonts w:ascii="Times New Roman" w:hAnsi="Times New Roman" w:cs="Times New Roman"/>
                <w:color w:val="1A1A1A"/>
                <w:spacing w:val="-4"/>
                <w:w w:val="105"/>
                <w:sz w:val="20"/>
                <w:szCs w:val="20"/>
              </w:rPr>
              <w:t>]</w:t>
            </w:r>
          </w:p>
        </w:tc>
        <w:tc>
          <w:tcPr>
            <w:tcW w:w="2425" w:type="dxa"/>
          </w:tcPr>
          <w:p w14:paraId="0EA9706F" w14:textId="77777777" w:rsidR="001C0C8B" w:rsidRPr="00CB6BAA" w:rsidRDefault="001C0C8B" w:rsidP="00944D91">
            <w:pPr>
              <w:pStyle w:val="TableParagraph"/>
              <w:spacing w:before="51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w w:val="105"/>
                <w:sz w:val="20"/>
                <w:szCs w:val="20"/>
              </w:rPr>
              <w:t>Stan</w:t>
            </w:r>
            <w:r w:rsidRPr="00CB6BAA">
              <w:rPr>
                <w:rFonts w:ascii="Times New Roman" w:hAnsi="Times New Roman" w:cs="Times New Roman"/>
                <w:color w:val="1A1A1A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CB6BAA">
              <w:rPr>
                <w:rFonts w:ascii="Times New Roman" w:hAnsi="Times New Roman" w:cs="Times New Roman"/>
                <w:color w:val="1A1A1A"/>
                <w:w w:val="105"/>
                <w:sz w:val="20"/>
                <w:szCs w:val="20"/>
              </w:rPr>
              <w:t>projektowany</w:t>
            </w:r>
            <w:proofErr w:type="spellEnd"/>
            <w:r w:rsidRPr="00CB6BAA">
              <w:rPr>
                <w:rFonts w:ascii="Times New Roman" w:hAnsi="Times New Roman" w:cs="Times New Roman"/>
                <w:color w:val="1A1A1A"/>
                <w:spacing w:val="-6"/>
                <w:w w:val="105"/>
                <w:sz w:val="20"/>
                <w:szCs w:val="20"/>
              </w:rPr>
              <w:t xml:space="preserve"> </w:t>
            </w:r>
            <w:r w:rsidRPr="00CB6BAA">
              <w:rPr>
                <w:rFonts w:ascii="Times New Roman" w:hAnsi="Times New Roman" w:cs="Times New Roman"/>
                <w:color w:val="1A1A1A"/>
                <w:spacing w:val="-4"/>
                <w:w w:val="105"/>
                <w:sz w:val="20"/>
                <w:szCs w:val="20"/>
              </w:rPr>
              <w:t>[m</w:t>
            </w:r>
            <w:r w:rsidRPr="00CB6BAA">
              <w:rPr>
                <w:rFonts w:ascii="Times New Roman" w:hAnsi="Times New Roman" w:cs="Times New Roman"/>
                <w:color w:val="1A1A1A"/>
                <w:spacing w:val="-4"/>
                <w:w w:val="105"/>
                <w:position w:val="6"/>
                <w:sz w:val="20"/>
                <w:szCs w:val="20"/>
              </w:rPr>
              <w:t>2</w:t>
            </w:r>
            <w:r w:rsidRPr="00CB6BAA">
              <w:rPr>
                <w:rFonts w:ascii="Times New Roman" w:hAnsi="Times New Roman" w:cs="Times New Roman"/>
                <w:color w:val="1A1A1A"/>
                <w:spacing w:val="-4"/>
                <w:w w:val="105"/>
                <w:sz w:val="20"/>
                <w:szCs w:val="20"/>
              </w:rPr>
              <w:t>]</w:t>
            </w:r>
          </w:p>
        </w:tc>
        <w:tc>
          <w:tcPr>
            <w:tcW w:w="2151" w:type="dxa"/>
          </w:tcPr>
          <w:p w14:paraId="154B06B4" w14:textId="77777777" w:rsidR="001C0C8B" w:rsidRPr="00CB6BAA" w:rsidRDefault="001C0C8B" w:rsidP="00944D91">
            <w:pPr>
              <w:pStyle w:val="TableParagraph"/>
              <w:tabs>
                <w:tab w:val="left" w:pos="783"/>
                <w:tab w:val="left" w:pos="1245"/>
              </w:tabs>
              <w:spacing w:before="23" w:line="270" w:lineRule="atLeast"/>
              <w:ind w:left="119" w:right="52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4"/>
                <w:w w:val="110"/>
                <w:position w:val="1"/>
                <w:sz w:val="20"/>
                <w:szCs w:val="20"/>
              </w:rPr>
              <w:t>Stan</w:t>
            </w:r>
            <w:r w:rsidRPr="00CB6BAA">
              <w:rPr>
                <w:rFonts w:ascii="Times New Roman" w:hAnsi="Times New Roman" w:cs="Times New Roman"/>
                <w:color w:val="1A1A1A"/>
                <w:position w:val="1"/>
                <w:sz w:val="20"/>
                <w:szCs w:val="20"/>
              </w:rPr>
              <w:tab/>
            </w:r>
            <w:r w:rsidRPr="00CB6BAA">
              <w:rPr>
                <w:rFonts w:ascii="Times New Roman" w:hAnsi="Times New Roman" w:cs="Times New Roman"/>
                <w:color w:val="1A1A1A"/>
                <w:spacing w:val="-6"/>
                <w:w w:val="105"/>
                <w:position w:val="1"/>
                <w:sz w:val="20"/>
                <w:szCs w:val="20"/>
              </w:rPr>
              <w:t>po</w:t>
            </w:r>
            <w:r w:rsidRPr="00CB6BAA">
              <w:rPr>
                <w:rFonts w:ascii="Times New Roman" w:hAnsi="Times New Roman" w:cs="Times New Roman"/>
                <w:color w:val="1A1A1A"/>
                <w:position w:val="1"/>
                <w:sz w:val="20"/>
                <w:szCs w:val="20"/>
              </w:rPr>
              <w:tab/>
            </w:r>
            <w:proofErr w:type="spellStart"/>
            <w:r w:rsidRPr="00CB6BAA">
              <w:rPr>
                <w:rFonts w:ascii="Times New Roman" w:hAnsi="Times New Roman" w:cs="Times New Roman"/>
                <w:color w:val="030303"/>
                <w:spacing w:val="-2"/>
                <w:w w:val="105"/>
                <w:sz w:val="20"/>
                <w:szCs w:val="20"/>
              </w:rPr>
              <w:t>real</w:t>
            </w:r>
            <w:r w:rsidRPr="00CB6BAA">
              <w:rPr>
                <w:rFonts w:ascii="Times New Roman" w:hAnsi="Times New Roman" w:cs="Times New Roman"/>
                <w:color w:val="2D2D2D"/>
                <w:spacing w:val="-2"/>
                <w:w w:val="105"/>
                <w:sz w:val="20"/>
                <w:szCs w:val="20"/>
              </w:rPr>
              <w:t>izacji</w:t>
            </w:r>
            <w:proofErr w:type="spellEnd"/>
            <w:r w:rsidRPr="00CB6BAA">
              <w:rPr>
                <w:rFonts w:ascii="Times New Roman" w:hAnsi="Times New Roman" w:cs="Times New Roman"/>
                <w:color w:val="2D2D2D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CB6BAA">
              <w:rPr>
                <w:rFonts w:ascii="Times New Roman" w:hAnsi="Times New Roman" w:cs="Times New Roman"/>
                <w:color w:val="1A1A1A"/>
                <w:w w:val="105"/>
                <w:sz w:val="20"/>
                <w:szCs w:val="20"/>
              </w:rPr>
              <w:t>przedsięwzięcia</w:t>
            </w:r>
            <w:proofErr w:type="spellEnd"/>
            <w:r w:rsidRPr="00CB6BAA">
              <w:rPr>
                <w:rFonts w:ascii="Times New Roman" w:hAnsi="Times New Roman" w:cs="Times New Roman"/>
                <w:color w:val="1A1A1A"/>
                <w:spacing w:val="-15"/>
                <w:w w:val="105"/>
                <w:sz w:val="20"/>
                <w:szCs w:val="20"/>
              </w:rPr>
              <w:t xml:space="preserve"> </w:t>
            </w:r>
            <w:r w:rsidRPr="00CB6BAA">
              <w:rPr>
                <w:rFonts w:ascii="Times New Roman" w:hAnsi="Times New Roman" w:cs="Times New Roman"/>
                <w:color w:val="1A1A1A"/>
                <w:spacing w:val="-4"/>
                <w:w w:val="110"/>
                <w:sz w:val="20"/>
                <w:szCs w:val="20"/>
              </w:rPr>
              <w:t>[m</w:t>
            </w:r>
            <w:r w:rsidRPr="00CB6BAA">
              <w:rPr>
                <w:rFonts w:ascii="Times New Roman" w:hAnsi="Times New Roman" w:cs="Times New Roman"/>
                <w:color w:val="1A1A1A"/>
                <w:spacing w:val="-4"/>
                <w:w w:val="110"/>
                <w:position w:val="6"/>
                <w:sz w:val="20"/>
                <w:szCs w:val="20"/>
              </w:rPr>
              <w:t>2</w:t>
            </w:r>
            <w:r w:rsidRPr="00CB6BAA">
              <w:rPr>
                <w:rFonts w:ascii="Times New Roman" w:hAnsi="Times New Roman" w:cs="Times New Roman"/>
                <w:color w:val="1A1A1A"/>
                <w:spacing w:val="-4"/>
                <w:w w:val="110"/>
                <w:sz w:val="20"/>
                <w:szCs w:val="20"/>
              </w:rPr>
              <w:t>]</w:t>
            </w:r>
          </w:p>
        </w:tc>
      </w:tr>
      <w:tr w:rsidR="001C0C8B" w14:paraId="4AE9E536" w14:textId="77777777" w:rsidTr="00944D91">
        <w:trPr>
          <w:trHeight w:val="256"/>
        </w:trPr>
        <w:tc>
          <w:tcPr>
            <w:tcW w:w="2844" w:type="dxa"/>
          </w:tcPr>
          <w:p w14:paraId="71446A84" w14:textId="77777777" w:rsidR="001C0C8B" w:rsidRPr="00CB6BAA" w:rsidRDefault="001C0C8B" w:rsidP="00944D91">
            <w:pPr>
              <w:pStyle w:val="TableParagraph"/>
              <w:spacing w:line="225" w:lineRule="exact"/>
              <w:ind w:left="1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BAA">
              <w:rPr>
                <w:rFonts w:ascii="Times New Roman" w:hAnsi="Times New Roman" w:cs="Times New Roman"/>
                <w:color w:val="1A1A1A"/>
                <w:w w:val="105"/>
                <w:sz w:val="20"/>
                <w:szCs w:val="20"/>
              </w:rPr>
              <w:t>powierzchnia</w:t>
            </w:r>
            <w:proofErr w:type="spellEnd"/>
            <w:r w:rsidRPr="00CB6BAA">
              <w:rPr>
                <w:rFonts w:ascii="Times New Roman" w:hAnsi="Times New Roman" w:cs="Times New Roman"/>
                <w:color w:val="1A1A1A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zabudowy</w:t>
            </w:r>
            <w:proofErr w:type="spellEnd"/>
          </w:p>
        </w:tc>
        <w:tc>
          <w:tcPr>
            <w:tcW w:w="2086" w:type="dxa"/>
          </w:tcPr>
          <w:p w14:paraId="68B7431C" w14:textId="77777777" w:rsidR="001C0C8B" w:rsidRPr="00CB6BAA" w:rsidRDefault="001C0C8B" w:rsidP="00944D91">
            <w:pPr>
              <w:pStyle w:val="TableParagraph"/>
              <w:spacing w:before="17" w:line="220" w:lineRule="exact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4167,85</w:t>
            </w:r>
          </w:p>
        </w:tc>
        <w:tc>
          <w:tcPr>
            <w:tcW w:w="2425" w:type="dxa"/>
          </w:tcPr>
          <w:p w14:paraId="59967E6F" w14:textId="77777777" w:rsidR="001C0C8B" w:rsidRPr="00CB6BAA" w:rsidRDefault="001C0C8B" w:rsidP="00944D91">
            <w:pPr>
              <w:pStyle w:val="TableParagraph"/>
              <w:spacing w:before="24" w:line="213" w:lineRule="exact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3385,69</w:t>
            </w:r>
          </w:p>
        </w:tc>
        <w:tc>
          <w:tcPr>
            <w:tcW w:w="2151" w:type="dxa"/>
          </w:tcPr>
          <w:p w14:paraId="7D7D4C6D" w14:textId="77777777" w:rsidR="001C0C8B" w:rsidRPr="00CB6BAA" w:rsidRDefault="001C0C8B" w:rsidP="00944D91">
            <w:pPr>
              <w:pStyle w:val="TableParagraph"/>
              <w:spacing w:before="46" w:line="191" w:lineRule="exac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7262,89</w:t>
            </w:r>
          </w:p>
        </w:tc>
      </w:tr>
      <w:tr w:rsidR="001C0C8B" w14:paraId="0F6B5E4D" w14:textId="77777777" w:rsidTr="00944D91">
        <w:trPr>
          <w:trHeight w:val="546"/>
        </w:trPr>
        <w:tc>
          <w:tcPr>
            <w:tcW w:w="2844" w:type="dxa"/>
          </w:tcPr>
          <w:p w14:paraId="0A0B2CF3" w14:textId="77777777" w:rsidR="001C0C8B" w:rsidRPr="00CB6BAA" w:rsidRDefault="001C0C8B" w:rsidP="00944D91">
            <w:pPr>
              <w:pStyle w:val="TableParagraph"/>
              <w:tabs>
                <w:tab w:val="left" w:pos="1606"/>
              </w:tabs>
              <w:spacing w:before="1"/>
              <w:ind w:left="1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position w:val="1"/>
                <w:sz w:val="20"/>
                <w:szCs w:val="20"/>
              </w:rPr>
              <w:t>powierzchnia</w:t>
            </w:r>
            <w:proofErr w:type="spellEnd"/>
            <w:r w:rsidRPr="00CB6BAA">
              <w:rPr>
                <w:rFonts w:ascii="Times New Roman" w:hAnsi="Times New Roman" w:cs="Times New Roman"/>
                <w:color w:val="1A1A1A"/>
                <w:position w:val="1"/>
                <w:sz w:val="20"/>
                <w:szCs w:val="20"/>
              </w:rPr>
              <w:tab/>
            </w:r>
            <w:proofErr w:type="spellStart"/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utwardzona</w:t>
            </w:r>
            <w:proofErr w:type="spellEnd"/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,</w:t>
            </w:r>
          </w:p>
          <w:p w14:paraId="69C82211" w14:textId="77777777" w:rsidR="001C0C8B" w:rsidRPr="00CB6BAA" w:rsidRDefault="001C0C8B" w:rsidP="00944D91">
            <w:pPr>
              <w:pStyle w:val="TableParagraph"/>
              <w:spacing w:before="37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w w:val="110"/>
                <w:sz w:val="20"/>
                <w:szCs w:val="20"/>
              </w:rPr>
              <w:t>w</w:t>
            </w:r>
            <w:r w:rsidRPr="00CB6BAA">
              <w:rPr>
                <w:rFonts w:ascii="Times New Roman" w:hAnsi="Times New Roman" w:cs="Times New Roman"/>
                <w:color w:val="1A1A1A"/>
                <w:spacing w:val="-15"/>
                <w:w w:val="110"/>
                <w:sz w:val="20"/>
                <w:szCs w:val="20"/>
              </w:rPr>
              <w:t xml:space="preserve"> </w:t>
            </w:r>
            <w:proofErr w:type="spellStart"/>
            <w:r w:rsidRPr="00CB6BAA">
              <w:rPr>
                <w:rFonts w:ascii="Times New Roman" w:hAnsi="Times New Roman" w:cs="Times New Roman"/>
                <w:color w:val="1A1A1A"/>
                <w:spacing w:val="-4"/>
                <w:w w:val="110"/>
                <w:sz w:val="20"/>
                <w:szCs w:val="20"/>
              </w:rPr>
              <w:t>tym</w:t>
            </w:r>
            <w:proofErr w:type="spellEnd"/>
            <w:r w:rsidRPr="00CB6BAA">
              <w:rPr>
                <w:rFonts w:ascii="Times New Roman" w:hAnsi="Times New Roman" w:cs="Times New Roman"/>
                <w:color w:val="1A1A1A"/>
                <w:spacing w:val="-4"/>
                <w:w w:val="110"/>
                <w:sz w:val="20"/>
                <w:szCs w:val="20"/>
              </w:rPr>
              <w:t>:</w:t>
            </w:r>
          </w:p>
        </w:tc>
        <w:tc>
          <w:tcPr>
            <w:tcW w:w="2086" w:type="dxa"/>
          </w:tcPr>
          <w:p w14:paraId="3DCFE46E" w14:textId="77777777" w:rsidR="001C0C8B" w:rsidRPr="00CB6BAA" w:rsidRDefault="001C0C8B" w:rsidP="00944D91">
            <w:pPr>
              <w:pStyle w:val="TableParagraph"/>
              <w:spacing w:before="18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3928,1</w:t>
            </w:r>
          </w:p>
        </w:tc>
        <w:tc>
          <w:tcPr>
            <w:tcW w:w="2425" w:type="dxa"/>
          </w:tcPr>
          <w:p w14:paraId="6B7B2C45" w14:textId="77777777" w:rsidR="001C0C8B" w:rsidRPr="00CB6BAA" w:rsidRDefault="001C0C8B" w:rsidP="00944D91">
            <w:pPr>
              <w:pStyle w:val="TableParagraph"/>
              <w:spacing w:before="26"/>
              <w:ind w:left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1420,45</w:t>
            </w:r>
          </w:p>
        </w:tc>
        <w:tc>
          <w:tcPr>
            <w:tcW w:w="2151" w:type="dxa"/>
          </w:tcPr>
          <w:p w14:paraId="6F5E4AE0" w14:textId="77777777" w:rsidR="001C0C8B" w:rsidRPr="00CB6BAA" w:rsidRDefault="001C0C8B" w:rsidP="00944D91">
            <w:pPr>
              <w:pStyle w:val="TableParagraph"/>
              <w:spacing w:before="47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5494,01</w:t>
            </w:r>
          </w:p>
        </w:tc>
      </w:tr>
      <w:tr w:rsidR="001C0C8B" w14:paraId="647D42F5" w14:textId="77777777" w:rsidTr="00944D91">
        <w:trPr>
          <w:trHeight w:val="280"/>
        </w:trPr>
        <w:tc>
          <w:tcPr>
            <w:tcW w:w="2844" w:type="dxa"/>
          </w:tcPr>
          <w:p w14:paraId="250D6B3E" w14:textId="77777777" w:rsidR="001C0C8B" w:rsidRPr="00CB6BAA" w:rsidRDefault="001C0C8B" w:rsidP="00944D91">
            <w:pPr>
              <w:pStyle w:val="TableParagraph"/>
              <w:tabs>
                <w:tab w:val="left" w:pos="674"/>
              </w:tabs>
              <w:spacing w:line="236" w:lineRule="exact"/>
              <w:ind w:lef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3B3B3B"/>
                <w:spacing w:val="-10"/>
                <w:w w:val="110"/>
                <w:position w:val="1"/>
                <w:sz w:val="20"/>
                <w:szCs w:val="20"/>
              </w:rPr>
              <w:t>-</w:t>
            </w:r>
            <w:r w:rsidRPr="00CB6BAA">
              <w:rPr>
                <w:rFonts w:ascii="Times New Roman" w:hAnsi="Times New Roman" w:cs="Times New Roman"/>
                <w:color w:val="3B3B3B"/>
                <w:position w:val="1"/>
                <w:sz w:val="20"/>
                <w:szCs w:val="20"/>
              </w:rPr>
              <w:tab/>
            </w:r>
            <w:proofErr w:type="spellStart"/>
            <w:r w:rsidRPr="00CB6BAA">
              <w:rPr>
                <w:rFonts w:ascii="Times New Roman" w:hAnsi="Times New Roman" w:cs="Times New Roman"/>
                <w:color w:val="1A1A1A"/>
                <w:w w:val="110"/>
                <w:sz w:val="20"/>
                <w:szCs w:val="20"/>
              </w:rPr>
              <w:t>drogi</w:t>
            </w:r>
            <w:proofErr w:type="spellEnd"/>
            <w:r w:rsidRPr="00CB6BAA">
              <w:rPr>
                <w:rFonts w:ascii="Times New Roman" w:hAnsi="Times New Roman" w:cs="Times New Roman"/>
                <w:color w:val="1A1A1A"/>
                <w:spacing w:val="-16"/>
                <w:w w:val="110"/>
                <w:sz w:val="20"/>
                <w:szCs w:val="20"/>
              </w:rPr>
              <w:t xml:space="preserve"> </w:t>
            </w:r>
            <w:r w:rsidRPr="00CB6BAA">
              <w:rPr>
                <w:rFonts w:ascii="Times New Roman" w:hAnsi="Times New Roman" w:cs="Times New Roman"/>
                <w:color w:val="2D2D2D"/>
                <w:w w:val="110"/>
                <w:sz w:val="20"/>
                <w:szCs w:val="20"/>
              </w:rPr>
              <w:t>i</w:t>
            </w:r>
            <w:r w:rsidRPr="00CB6BAA">
              <w:rPr>
                <w:rFonts w:ascii="Times New Roman" w:hAnsi="Times New Roman" w:cs="Times New Roman"/>
                <w:color w:val="2D2D2D"/>
                <w:spacing w:val="-8"/>
                <w:w w:val="110"/>
                <w:sz w:val="20"/>
                <w:szCs w:val="20"/>
              </w:rPr>
              <w:t xml:space="preserve"> </w:t>
            </w:r>
            <w:r w:rsidRPr="00CB6BAA">
              <w:rPr>
                <w:rFonts w:ascii="Times New Roman" w:hAnsi="Times New Roman" w:cs="Times New Roman"/>
                <w:color w:val="2D2D2D"/>
                <w:spacing w:val="-2"/>
                <w:w w:val="110"/>
                <w:sz w:val="20"/>
                <w:szCs w:val="20"/>
              </w:rPr>
              <w:t>place</w:t>
            </w:r>
          </w:p>
        </w:tc>
        <w:tc>
          <w:tcPr>
            <w:tcW w:w="2086" w:type="dxa"/>
          </w:tcPr>
          <w:p w14:paraId="0ED7F701" w14:textId="77777777" w:rsidR="001C0C8B" w:rsidRPr="00CB6BAA" w:rsidRDefault="001C0C8B" w:rsidP="00944D91">
            <w:pPr>
              <w:pStyle w:val="TableParagraph"/>
              <w:spacing w:before="4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3440,7</w:t>
            </w:r>
          </w:p>
        </w:tc>
        <w:tc>
          <w:tcPr>
            <w:tcW w:w="2425" w:type="dxa"/>
          </w:tcPr>
          <w:p w14:paraId="0E2B8DCD" w14:textId="77777777" w:rsidR="001C0C8B" w:rsidRPr="00CB6BAA" w:rsidRDefault="001C0C8B" w:rsidP="00944D91">
            <w:pPr>
              <w:pStyle w:val="TableParagraph"/>
              <w:spacing w:before="18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904,64</w:t>
            </w:r>
          </w:p>
        </w:tc>
        <w:tc>
          <w:tcPr>
            <w:tcW w:w="2151" w:type="dxa"/>
          </w:tcPr>
          <w:p w14:paraId="37EB99EF" w14:textId="77777777" w:rsidR="001C0C8B" w:rsidRPr="00CB6BAA" w:rsidRDefault="001C0C8B" w:rsidP="00944D91">
            <w:pPr>
              <w:pStyle w:val="TableParagraph"/>
              <w:spacing w:before="40" w:line="220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4679,12</w:t>
            </w:r>
          </w:p>
        </w:tc>
      </w:tr>
      <w:tr w:rsidR="001C0C8B" w14:paraId="41303D45" w14:textId="77777777" w:rsidTr="00944D91">
        <w:trPr>
          <w:trHeight w:val="272"/>
        </w:trPr>
        <w:tc>
          <w:tcPr>
            <w:tcW w:w="2844" w:type="dxa"/>
            <w:tcBorders>
              <w:right w:val="single" w:sz="4" w:space="0" w:color="000000"/>
            </w:tcBorders>
          </w:tcPr>
          <w:p w14:paraId="347EA8BE" w14:textId="77777777" w:rsidR="001C0C8B" w:rsidRPr="00CB6BAA" w:rsidRDefault="001C0C8B" w:rsidP="00944D91">
            <w:pPr>
              <w:pStyle w:val="TableParagraph"/>
              <w:tabs>
                <w:tab w:val="left" w:pos="680"/>
              </w:tabs>
              <w:spacing w:line="239" w:lineRule="exact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3B3B3B"/>
                <w:spacing w:val="-10"/>
                <w:w w:val="105"/>
                <w:sz w:val="20"/>
                <w:szCs w:val="20"/>
              </w:rPr>
              <w:t>-</w:t>
            </w:r>
            <w:r w:rsidRPr="00CB6BAA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ab/>
            </w:r>
            <w:proofErr w:type="spellStart"/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chodniki</w:t>
            </w:r>
            <w:proofErr w:type="spellEnd"/>
          </w:p>
        </w:tc>
        <w:tc>
          <w:tcPr>
            <w:tcW w:w="2086" w:type="dxa"/>
            <w:tcBorders>
              <w:left w:val="single" w:sz="4" w:space="0" w:color="000000"/>
            </w:tcBorders>
          </w:tcPr>
          <w:p w14:paraId="7A1C3E89" w14:textId="77777777" w:rsidR="001C0C8B" w:rsidRPr="00CB6BAA" w:rsidRDefault="001C0C8B" w:rsidP="00944D91">
            <w:pPr>
              <w:pStyle w:val="TableParagraph"/>
              <w:spacing w:line="227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139,54</w:t>
            </w:r>
          </w:p>
        </w:tc>
        <w:tc>
          <w:tcPr>
            <w:tcW w:w="2425" w:type="dxa"/>
          </w:tcPr>
          <w:p w14:paraId="289812D8" w14:textId="77777777" w:rsidR="001C0C8B" w:rsidRPr="00CB6BAA" w:rsidRDefault="001C0C8B" w:rsidP="00944D91">
            <w:pPr>
              <w:pStyle w:val="TableParagraph"/>
              <w:spacing w:before="11"/>
              <w:ind w:left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108,43</w:t>
            </w:r>
          </w:p>
        </w:tc>
        <w:tc>
          <w:tcPr>
            <w:tcW w:w="2151" w:type="dxa"/>
          </w:tcPr>
          <w:p w14:paraId="6D17B2B8" w14:textId="77777777" w:rsidR="001C0C8B" w:rsidRPr="00CB6BAA" w:rsidRDefault="001C0C8B" w:rsidP="00944D91">
            <w:pPr>
              <w:pStyle w:val="TableParagraph"/>
              <w:spacing w:before="33" w:line="220" w:lineRule="exact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233,02</w:t>
            </w:r>
          </w:p>
        </w:tc>
      </w:tr>
      <w:tr w:rsidR="001C0C8B" w14:paraId="0B02251A" w14:textId="77777777" w:rsidTr="00944D91">
        <w:trPr>
          <w:trHeight w:val="568"/>
        </w:trPr>
        <w:tc>
          <w:tcPr>
            <w:tcW w:w="2844" w:type="dxa"/>
          </w:tcPr>
          <w:p w14:paraId="72AB66CA" w14:textId="77777777" w:rsidR="001C0C8B" w:rsidRPr="00CB6BAA" w:rsidRDefault="001C0C8B" w:rsidP="00944D91">
            <w:pPr>
              <w:pStyle w:val="TableParagraph"/>
              <w:tabs>
                <w:tab w:val="left" w:pos="675"/>
              </w:tabs>
              <w:spacing w:line="227" w:lineRule="exact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10"/>
                <w:w w:val="105"/>
                <w:position w:val="1"/>
                <w:sz w:val="20"/>
                <w:szCs w:val="20"/>
              </w:rPr>
              <w:t>-</w:t>
            </w:r>
            <w:r w:rsidRPr="00CB6BAA">
              <w:rPr>
                <w:rFonts w:ascii="Times New Roman" w:hAnsi="Times New Roman" w:cs="Times New Roman"/>
                <w:color w:val="1A1A1A"/>
                <w:position w:val="1"/>
                <w:sz w:val="20"/>
                <w:szCs w:val="20"/>
              </w:rPr>
              <w:tab/>
            </w:r>
            <w:proofErr w:type="spellStart"/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powierzchnie</w:t>
            </w:r>
            <w:proofErr w:type="spellEnd"/>
          </w:p>
          <w:p w14:paraId="349354B6" w14:textId="77777777" w:rsidR="001C0C8B" w:rsidRPr="00CB6BAA" w:rsidRDefault="001C0C8B" w:rsidP="00944D91">
            <w:pPr>
              <w:pStyle w:val="TableParagraph"/>
              <w:spacing w:before="51"/>
              <w:ind w:left="6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parkingowe</w:t>
            </w:r>
            <w:proofErr w:type="spellEnd"/>
          </w:p>
        </w:tc>
        <w:tc>
          <w:tcPr>
            <w:tcW w:w="2086" w:type="dxa"/>
          </w:tcPr>
          <w:p w14:paraId="13259161" w14:textId="77777777" w:rsidR="001C0C8B" w:rsidRPr="00CB6BAA" w:rsidRDefault="001C0C8B" w:rsidP="00944D91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5"/>
                <w:w w:val="110"/>
                <w:sz w:val="20"/>
                <w:szCs w:val="20"/>
              </w:rPr>
              <w:t>571</w:t>
            </w:r>
          </w:p>
        </w:tc>
        <w:tc>
          <w:tcPr>
            <w:tcW w:w="2425" w:type="dxa"/>
          </w:tcPr>
          <w:p w14:paraId="2346DFC0" w14:textId="77777777" w:rsidR="001C0C8B" w:rsidRPr="00CB6BAA" w:rsidRDefault="001C0C8B" w:rsidP="00944D91">
            <w:pPr>
              <w:pStyle w:val="TableParagraph"/>
              <w:spacing w:before="1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5"/>
                <w:w w:val="105"/>
                <w:sz w:val="20"/>
                <w:szCs w:val="20"/>
              </w:rPr>
              <w:t>303</w:t>
            </w:r>
          </w:p>
        </w:tc>
        <w:tc>
          <w:tcPr>
            <w:tcW w:w="2151" w:type="dxa"/>
          </w:tcPr>
          <w:p w14:paraId="7102945A" w14:textId="77777777" w:rsidR="001C0C8B" w:rsidRPr="00CB6BAA" w:rsidRDefault="001C0C8B" w:rsidP="00944D91">
            <w:pPr>
              <w:pStyle w:val="TableParagraph"/>
              <w:spacing w:before="33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5"/>
                <w:w w:val="105"/>
                <w:sz w:val="20"/>
                <w:szCs w:val="20"/>
              </w:rPr>
              <w:t>874</w:t>
            </w:r>
          </w:p>
        </w:tc>
      </w:tr>
      <w:tr w:rsidR="001C0C8B" w14:paraId="3ACA65CF" w14:textId="77777777" w:rsidTr="00944D91">
        <w:trPr>
          <w:trHeight w:val="546"/>
        </w:trPr>
        <w:tc>
          <w:tcPr>
            <w:tcW w:w="2844" w:type="dxa"/>
            <w:tcBorders>
              <w:right w:val="single" w:sz="4" w:space="0" w:color="000000"/>
            </w:tcBorders>
          </w:tcPr>
          <w:p w14:paraId="6C561934" w14:textId="77777777" w:rsidR="001C0C8B" w:rsidRPr="00CB6BAA" w:rsidRDefault="001C0C8B" w:rsidP="00944D91">
            <w:pPr>
              <w:pStyle w:val="TableParagraph"/>
              <w:tabs>
                <w:tab w:val="left" w:pos="1642"/>
              </w:tabs>
              <w:spacing w:line="205" w:lineRule="exact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position w:val="1"/>
                <w:sz w:val="20"/>
                <w:szCs w:val="20"/>
              </w:rPr>
              <w:t>Powierzchnia</w:t>
            </w:r>
            <w:proofErr w:type="spellEnd"/>
            <w:r w:rsidRPr="00CB6BAA">
              <w:rPr>
                <w:rFonts w:ascii="Times New Roman" w:hAnsi="Times New Roman" w:cs="Times New Roman"/>
                <w:color w:val="1A1A1A"/>
                <w:position w:val="1"/>
                <w:sz w:val="20"/>
                <w:szCs w:val="20"/>
              </w:rPr>
              <w:tab/>
            </w:r>
            <w:proofErr w:type="spellStart"/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biologicznie</w:t>
            </w:r>
            <w:proofErr w:type="spellEnd"/>
          </w:p>
          <w:p w14:paraId="3E11DA06" w14:textId="77777777" w:rsidR="001C0C8B" w:rsidRPr="00CB6BAA" w:rsidRDefault="001C0C8B" w:rsidP="00944D91">
            <w:pPr>
              <w:pStyle w:val="TableParagraph"/>
              <w:spacing w:before="37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czynna</w:t>
            </w:r>
            <w:proofErr w:type="spellEnd"/>
          </w:p>
        </w:tc>
        <w:tc>
          <w:tcPr>
            <w:tcW w:w="2086" w:type="dxa"/>
            <w:tcBorders>
              <w:left w:val="single" w:sz="4" w:space="0" w:color="000000"/>
            </w:tcBorders>
          </w:tcPr>
          <w:p w14:paraId="4DE5F504" w14:textId="77777777" w:rsidR="001C0C8B" w:rsidRPr="00CB6BAA" w:rsidRDefault="001C0C8B" w:rsidP="00944D91">
            <w:pPr>
              <w:pStyle w:val="TableParagraph"/>
              <w:spacing w:line="213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6775,18</w:t>
            </w:r>
          </w:p>
        </w:tc>
        <w:tc>
          <w:tcPr>
            <w:tcW w:w="2425" w:type="dxa"/>
          </w:tcPr>
          <w:p w14:paraId="09F57652" w14:textId="77777777" w:rsidR="001C0C8B" w:rsidRPr="00CB6BAA" w:rsidRDefault="001C0C8B" w:rsidP="00944D91">
            <w:pPr>
              <w:pStyle w:val="TableParagraph"/>
              <w:spacing w:line="220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2118,87</w:t>
            </w:r>
          </w:p>
        </w:tc>
        <w:tc>
          <w:tcPr>
            <w:tcW w:w="2151" w:type="dxa"/>
          </w:tcPr>
          <w:p w14:paraId="28C8CF6E" w14:textId="77777777" w:rsidR="001C0C8B" w:rsidRPr="00CB6BAA" w:rsidRDefault="001C0C8B" w:rsidP="00944D91">
            <w:pPr>
              <w:pStyle w:val="TableParagraph"/>
              <w:spacing w:before="18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CB6BAA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2118,87</w:t>
            </w:r>
          </w:p>
        </w:tc>
      </w:tr>
    </w:tbl>
    <w:p w14:paraId="2A8475AB" w14:textId="681CD096" w:rsidR="00FC44AD" w:rsidRDefault="00FC44AD" w:rsidP="006C6CF4">
      <w:pPr>
        <w:pStyle w:val="Tekstpodstawowywcity"/>
        <w:spacing w:line="240" w:lineRule="auto"/>
        <w:ind w:firstLine="0"/>
      </w:pPr>
    </w:p>
    <w:p w14:paraId="347AE827" w14:textId="77777777" w:rsidR="006F2A01" w:rsidRPr="00DD725F" w:rsidRDefault="006F2A01" w:rsidP="006C6CF4">
      <w:pPr>
        <w:pStyle w:val="Tekstpodstawowywcity"/>
        <w:spacing w:line="240" w:lineRule="auto"/>
        <w:ind w:firstLine="0"/>
      </w:pPr>
    </w:p>
    <w:p w14:paraId="1B493248" w14:textId="395AE7F2" w:rsidR="00007DBB" w:rsidRDefault="0023177C" w:rsidP="00DD725F">
      <w:pPr>
        <w:jc w:val="both"/>
        <w:rPr>
          <w:b/>
        </w:rPr>
      </w:pPr>
      <w:r w:rsidRPr="00DD725F">
        <w:rPr>
          <w:b/>
        </w:rPr>
        <w:t xml:space="preserve">Emisja </w:t>
      </w:r>
      <w:r w:rsidR="003E4EFA">
        <w:rPr>
          <w:b/>
        </w:rPr>
        <w:t>hałasu</w:t>
      </w:r>
    </w:p>
    <w:p w14:paraId="3DAB0E04" w14:textId="0C857EAD" w:rsidR="001C0C8B" w:rsidRDefault="001C0C8B" w:rsidP="001C0C8B">
      <w:pPr>
        <w:pStyle w:val="Tekstpodstawowywcity"/>
        <w:spacing w:line="240" w:lineRule="auto"/>
        <w:ind w:firstLine="709"/>
      </w:pPr>
      <w:r>
        <w:t xml:space="preserve">W celu ograniczenia emisji zanieczyszczeń do atmosfery oraz hałasu </w:t>
      </w:r>
      <w:r>
        <w:br/>
        <w:t xml:space="preserve">z fazy budowy należy zastosować następujące rozwiązania: prace budowlane prowadzić wyłącznie w porze dnia, wszelkie operacje z użyciem pojazdów i ciężkiego sprzętu budowlanego wcześniej zaplanować, w czasie przerw w pracy silniki używanych maszyn </w:t>
      </w:r>
      <w:r>
        <w:br/>
        <w:t xml:space="preserve">i urządzeń wyłączać, stosować sprzęt budowlany w dobrym stanie technicznym. Przejściowy </w:t>
      </w:r>
      <w:r>
        <w:br/>
        <w:t xml:space="preserve">i krótkotrwały charakter oddziaływania w fazie budowy pozwala sądzić, że prace związane </w:t>
      </w:r>
      <w:r>
        <w:br/>
        <w:t>z realizacją przedsięwzięcia nie będą miały negatywnego wpływu na środowisko.</w:t>
      </w:r>
    </w:p>
    <w:p w14:paraId="6786505E" w14:textId="77777777" w:rsidR="00955628" w:rsidRDefault="00955628" w:rsidP="00955628">
      <w:pPr>
        <w:pStyle w:val="Tekstpodstawowywcity"/>
        <w:spacing w:line="240" w:lineRule="auto"/>
        <w:ind w:firstLine="709"/>
      </w:pPr>
      <w:r>
        <w:lastRenderedPageBreak/>
        <w:t>Funkcjonowanie zakładu po jego rozbudowie  będzie wiązało się z emisją hałasu do środowiska. Obecnie źródłem hałasu jest hala produkcyjna, natomiast projektowana hala będzie przeznaczona na cele dystrybucji, składowania i konfekcjonowania.</w:t>
      </w:r>
    </w:p>
    <w:p w14:paraId="04C52248" w14:textId="6B8F1478" w:rsidR="001C0C8B" w:rsidRDefault="00955628" w:rsidP="00955628">
      <w:pPr>
        <w:pStyle w:val="Tekstpodstawowywcity"/>
        <w:spacing w:line="240" w:lineRule="auto"/>
        <w:ind w:firstLine="709"/>
      </w:pPr>
      <w:r>
        <w:t>W związku z realizacją nowej hali montażowo-magazynowej powstaną nowe zewnętrzne, punktowe źródła hałasu: wentylatory dachowe, czerpnie i wyrzutnie central wentylacyjnych, wyrzutnie wentylatorów kanałowych oraz agregaty skraplające zainstalowane na zewnątrz budynków. Zaprojektowano następujące źródła hałasu:</w:t>
      </w:r>
    </w:p>
    <w:p w14:paraId="6B112379" w14:textId="77777777" w:rsidR="00955628" w:rsidRDefault="00955628" w:rsidP="00955628">
      <w:pPr>
        <w:pStyle w:val="Tekstpodstawowywcity"/>
        <w:spacing w:line="240" w:lineRule="auto"/>
        <w:ind w:firstLine="709"/>
      </w:pPr>
    </w:p>
    <w:tbl>
      <w:tblPr>
        <w:tblStyle w:val="TableNormal"/>
        <w:tblW w:w="9112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1"/>
        <w:gridCol w:w="2202"/>
        <w:gridCol w:w="2209"/>
      </w:tblGrid>
      <w:tr w:rsidR="001C0C8B" w14:paraId="34ADB5A3" w14:textId="77777777" w:rsidTr="001C0C8B">
        <w:trPr>
          <w:trHeight w:val="546"/>
        </w:trPr>
        <w:tc>
          <w:tcPr>
            <w:tcW w:w="4701" w:type="dxa"/>
          </w:tcPr>
          <w:p w14:paraId="4033B4EC" w14:textId="77777777" w:rsidR="001C0C8B" w:rsidRDefault="001C0C8B" w:rsidP="00944D91">
            <w:pPr>
              <w:pStyle w:val="TableParagraph"/>
              <w:spacing w:before="123"/>
              <w:ind w:left="150" w:right="70"/>
              <w:jc w:val="center"/>
              <w:rPr>
                <w:sz w:val="21"/>
              </w:rPr>
            </w:pPr>
            <w:proofErr w:type="spellStart"/>
            <w:r>
              <w:rPr>
                <w:color w:val="1A1A1A"/>
                <w:sz w:val="21"/>
              </w:rPr>
              <w:t>Rodzaj</w:t>
            </w:r>
            <w:proofErr w:type="spellEnd"/>
            <w:r>
              <w:rPr>
                <w:color w:val="1A1A1A"/>
                <w:spacing w:val="-1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źródła</w:t>
            </w:r>
            <w:proofErr w:type="spellEnd"/>
            <w:r>
              <w:rPr>
                <w:color w:val="1A1A1A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1"/>
              </w:rPr>
              <w:t>hałasu</w:t>
            </w:r>
            <w:proofErr w:type="spellEnd"/>
          </w:p>
        </w:tc>
        <w:tc>
          <w:tcPr>
            <w:tcW w:w="2202" w:type="dxa"/>
          </w:tcPr>
          <w:p w14:paraId="1AB09C07" w14:textId="77777777" w:rsidR="001C0C8B" w:rsidRDefault="001C0C8B" w:rsidP="00944D91">
            <w:pPr>
              <w:pStyle w:val="TableParagraph"/>
              <w:spacing w:before="152"/>
              <w:ind w:left="559" w:right="482"/>
              <w:jc w:val="center"/>
              <w:rPr>
                <w:sz w:val="21"/>
              </w:rPr>
            </w:pPr>
            <w:proofErr w:type="spellStart"/>
            <w:r>
              <w:rPr>
                <w:color w:val="1A1A1A"/>
                <w:sz w:val="21"/>
              </w:rPr>
              <w:t>Liczba</w:t>
            </w:r>
            <w:proofErr w:type="spellEnd"/>
            <w:r>
              <w:rPr>
                <w:color w:val="1A1A1A"/>
                <w:spacing w:val="-7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[</w:t>
            </w:r>
            <w:proofErr w:type="spellStart"/>
            <w:r>
              <w:rPr>
                <w:color w:val="1A1A1A"/>
                <w:spacing w:val="-2"/>
                <w:sz w:val="21"/>
              </w:rPr>
              <w:t>szt</w:t>
            </w:r>
            <w:proofErr w:type="spellEnd"/>
            <w:r>
              <w:rPr>
                <w:color w:val="1A1A1A"/>
                <w:spacing w:val="-2"/>
                <w:sz w:val="21"/>
              </w:rPr>
              <w:t>.]</w:t>
            </w:r>
          </w:p>
        </w:tc>
        <w:tc>
          <w:tcPr>
            <w:tcW w:w="2209" w:type="dxa"/>
          </w:tcPr>
          <w:p w14:paraId="045E674D" w14:textId="77777777" w:rsidR="001C0C8B" w:rsidRDefault="001C0C8B" w:rsidP="00944D91">
            <w:pPr>
              <w:pStyle w:val="TableParagraph"/>
              <w:spacing w:line="270" w:lineRule="atLeast"/>
              <w:ind w:left="369" w:hanging="81"/>
              <w:rPr>
                <w:sz w:val="21"/>
              </w:rPr>
            </w:pPr>
            <w:proofErr w:type="spellStart"/>
            <w:r>
              <w:rPr>
                <w:color w:val="1A1A1A"/>
                <w:sz w:val="21"/>
              </w:rPr>
              <w:t>Maksymalna</w:t>
            </w:r>
            <w:proofErr w:type="spellEnd"/>
            <w:r>
              <w:rPr>
                <w:color w:val="1A1A1A"/>
                <w:spacing w:val="-11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moc</w:t>
            </w:r>
            <w:proofErr w:type="spellEnd"/>
            <w:r>
              <w:rPr>
                <w:color w:val="1A1A1A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akustyczna</w:t>
            </w:r>
            <w:proofErr w:type="spellEnd"/>
            <w:r>
              <w:rPr>
                <w:color w:val="1A1A1A"/>
                <w:sz w:val="21"/>
              </w:rPr>
              <w:t xml:space="preserve"> [dB]</w:t>
            </w:r>
          </w:p>
        </w:tc>
      </w:tr>
      <w:tr w:rsidR="001C0C8B" w14:paraId="1F552A88" w14:textId="77777777" w:rsidTr="001C0C8B">
        <w:trPr>
          <w:trHeight w:val="280"/>
        </w:trPr>
        <w:tc>
          <w:tcPr>
            <w:tcW w:w="4701" w:type="dxa"/>
          </w:tcPr>
          <w:p w14:paraId="071DFEB1" w14:textId="77777777" w:rsidR="001C0C8B" w:rsidRDefault="001C0C8B" w:rsidP="00944D91">
            <w:pPr>
              <w:pStyle w:val="TableParagraph"/>
              <w:spacing w:line="221" w:lineRule="exact"/>
              <w:ind w:left="150" w:right="92"/>
              <w:jc w:val="center"/>
              <w:rPr>
                <w:sz w:val="21"/>
              </w:rPr>
            </w:pPr>
            <w:proofErr w:type="spellStart"/>
            <w:r>
              <w:rPr>
                <w:color w:val="1A1A1A"/>
                <w:sz w:val="21"/>
              </w:rPr>
              <w:t>Wywietrzak</w:t>
            </w:r>
            <w:proofErr w:type="spellEnd"/>
            <w:r>
              <w:rPr>
                <w:color w:val="1A1A1A"/>
                <w:spacing w:val="8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dachowy</w:t>
            </w:r>
            <w:proofErr w:type="spellEnd"/>
            <w:r>
              <w:rPr>
                <w:color w:val="1A1A1A"/>
                <w:spacing w:val="-9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zintegrowany</w:t>
            </w:r>
            <w:proofErr w:type="spellEnd"/>
            <w:r>
              <w:rPr>
                <w:color w:val="1A1A1A"/>
                <w:spacing w:val="12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z</w:t>
            </w:r>
            <w:r>
              <w:rPr>
                <w:color w:val="1A1A1A"/>
                <w:spacing w:val="4"/>
                <w:sz w:val="21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1"/>
              </w:rPr>
              <w:t>wentylatorem</w:t>
            </w:r>
            <w:proofErr w:type="spellEnd"/>
          </w:p>
        </w:tc>
        <w:tc>
          <w:tcPr>
            <w:tcW w:w="2202" w:type="dxa"/>
          </w:tcPr>
          <w:p w14:paraId="24C082ED" w14:textId="77777777" w:rsidR="001C0C8B" w:rsidRDefault="001C0C8B" w:rsidP="00944D91">
            <w:pPr>
              <w:pStyle w:val="TableParagraph"/>
              <w:spacing w:before="1"/>
              <w:ind w:left="553" w:right="482"/>
              <w:jc w:val="center"/>
              <w:rPr>
                <w:sz w:val="21"/>
              </w:rPr>
            </w:pPr>
            <w:r>
              <w:rPr>
                <w:color w:val="1A1A1A"/>
                <w:spacing w:val="-5"/>
                <w:w w:val="105"/>
                <w:sz w:val="21"/>
              </w:rPr>
              <w:t>27</w:t>
            </w:r>
          </w:p>
        </w:tc>
        <w:tc>
          <w:tcPr>
            <w:tcW w:w="2209" w:type="dxa"/>
          </w:tcPr>
          <w:p w14:paraId="086B8189" w14:textId="77777777" w:rsidR="001C0C8B" w:rsidRDefault="001C0C8B" w:rsidP="00944D91">
            <w:pPr>
              <w:pStyle w:val="TableParagraph"/>
              <w:spacing w:before="22" w:line="233" w:lineRule="exact"/>
              <w:ind w:right="943"/>
              <w:jc w:val="right"/>
              <w:rPr>
                <w:sz w:val="21"/>
              </w:rPr>
            </w:pPr>
            <w:r>
              <w:rPr>
                <w:color w:val="1A1A1A"/>
                <w:spacing w:val="-5"/>
                <w:w w:val="105"/>
                <w:sz w:val="21"/>
              </w:rPr>
              <w:t>78</w:t>
            </w:r>
          </w:p>
        </w:tc>
      </w:tr>
      <w:tr w:rsidR="001C0C8B" w14:paraId="583B7080" w14:textId="77777777" w:rsidTr="001C0C8B">
        <w:trPr>
          <w:trHeight w:val="546"/>
        </w:trPr>
        <w:tc>
          <w:tcPr>
            <w:tcW w:w="4701" w:type="dxa"/>
          </w:tcPr>
          <w:p w14:paraId="214D5B01" w14:textId="77777777" w:rsidR="001C0C8B" w:rsidRDefault="001C0C8B" w:rsidP="00944D91">
            <w:pPr>
              <w:pStyle w:val="TableParagraph"/>
              <w:spacing w:line="199" w:lineRule="exact"/>
              <w:ind w:left="150" w:right="61"/>
              <w:jc w:val="center"/>
              <w:rPr>
                <w:sz w:val="21"/>
              </w:rPr>
            </w:pPr>
            <w:proofErr w:type="spellStart"/>
            <w:r>
              <w:rPr>
                <w:color w:val="1A1A1A"/>
                <w:sz w:val="21"/>
              </w:rPr>
              <w:t>Wentylator</w:t>
            </w:r>
            <w:proofErr w:type="spellEnd"/>
            <w:r>
              <w:rPr>
                <w:color w:val="1A1A1A"/>
                <w:spacing w:val="9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dachowy</w:t>
            </w:r>
            <w:proofErr w:type="spellEnd"/>
            <w:r>
              <w:rPr>
                <w:color w:val="1A1A1A"/>
                <w:spacing w:val="7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w</w:t>
            </w:r>
            <w:r>
              <w:rPr>
                <w:color w:val="1A1A1A"/>
                <w:spacing w:val="-13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wyk</w:t>
            </w:r>
            <w:proofErr w:type="spellEnd"/>
            <w:r>
              <w:rPr>
                <w:color w:val="1A1A1A"/>
                <w:sz w:val="21"/>
              </w:rPr>
              <w:t>.</w:t>
            </w:r>
            <w:r>
              <w:rPr>
                <w:color w:val="1A1A1A"/>
                <w:spacing w:val="2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 xml:space="preserve">EX </w:t>
            </w:r>
            <w:r>
              <w:rPr>
                <w:color w:val="1A1A1A"/>
                <w:spacing w:val="-2"/>
                <w:sz w:val="21"/>
              </w:rPr>
              <w:t>{</w:t>
            </w:r>
            <w:proofErr w:type="spellStart"/>
            <w:r>
              <w:rPr>
                <w:color w:val="1A1A1A"/>
                <w:spacing w:val="-2"/>
                <w:sz w:val="21"/>
              </w:rPr>
              <w:t>pomieszczenie</w:t>
            </w:r>
            <w:proofErr w:type="spellEnd"/>
          </w:p>
          <w:p w14:paraId="2FA906A9" w14:textId="77777777" w:rsidR="001C0C8B" w:rsidRDefault="001C0C8B" w:rsidP="00944D91">
            <w:pPr>
              <w:pStyle w:val="TableParagraph"/>
              <w:spacing w:before="32"/>
              <w:ind w:left="150" w:right="80"/>
              <w:jc w:val="center"/>
              <w:rPr>
                <w:sz w:val="21"/>
              </w:rPr>
            </w:pPr>
            <w:proofErr w:type="spellStart"/>
            <w:r>
              <w:rPr>
                <w:color w:val="1A1A1A"/>
                <w:sz w:val="21"/>
              </w:rPr>
              <w:t>ładowania</w:t>
            </w:r>
            <w:proofErr w:type="spellEnd"/>
            <w:r>
              <w:rPr>
                <w:color w:val="1A1A1A"/>
                <w:spacing w:val="4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wózków</w:t>
            </w:r>
            <w:proofErr w:type="spellEnd"/>
            <w:r>
              <w:rPr>
                <w:color w:val="1A1A1A"/>
                <w:spacing w:val="-5"/>
                <w:sz w:val="21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1"/>
              </w:rPr>
              <w:t>akumulatorowych</w:t>
            </w:r>
            <w:proofErr w:type="spellEnd"/>
            <w:r>
              <w:rPr>
                <w:color w:val="1A1A1A"/>
                <w:spacing w:val="-2"/>
                <w:sz w:val="21"/>
              </w:rPr>
              <w:t>)</w:t>
            </w:r>
          </w:p>
        </w:tc>
        <w:tc>
          <w:tcPr>
            <w:tcW w:w="2202" w:type="dxa"/>
          </w:tcPr>
          <w:p w14:paraId="02715E4F" w14:textId="77777777" w:rsidR="001C0C8B" w:rsidRDefault="001C0C8B" w:rsidP="00944D91">
            <w:pPr>
              <w:pStyle w:val="TableParagraph"/>
              <w:spacing w:before="116"/>
              <w:ind w:left="56"/>
              <w:jc w:val="center"/>
              <w:rPr>
                <w:sz w:val="21"/>
              </w:rPr>
            </w:pPr>
            <w:r>
              <w:rPr>
                <w:color w:val="1A1A1A"/>
                <w:w w:val="101"/>
                <w:sz w:val="21"/>
              </w:rPr>
              <w:t>1</w:t>
            </w:r>
          </w:p>
        </w:tc>
        <w:tc>
          <w:tcPr>
            <w:tcW w:w="2209" w:type="dxa"/>
          </w:tcPr>
          <w:p w14:paraId="523BB92A" w14:textId="77777777" w:rsidR="001C0C8B" w:rsidRDefault="001C0C8B" w:rsidP="00944D91">
            <w:pPr>
              <w:pStyle w:val="TableParagraph"/>
              <w:spacing w:before="145"/>
              <w:ind w:right="933"/>
              <w:jc w:val="right"/>
              <w:rPr>
                <w:sz w:val="21"/>
              </w:rPr>
            </w:pPr>
            <w:r>
              <w:rPr>
                <w:color w:val="1A1A1A"/>
                <w:spacing w:val="-5"/>
                <w:w w:val="110"/>
                <w:sz w:val="21"/>
              </w:rPr>
              <w:t>78</w:t>
            </w:r>
          </w:p>
        </w:tc>
      </w:tr>
      <w:tr w:rsidR="001C0C8B" w14:paraId="29126F4B" w14:textId="77777777" w:rsidTr="001C0C8B">
        <w:trPr>
          <w:trHeight w:val="554"/>
        </w:trPr>
        <w:tc>
          <w:tcPr>
            <w:tcW w:w="4701" w:type="dxa"/>
          </w:tcPr>
          <w:p w14:paraId="7B57D316" w14:textId="77777777" w:rsidR="001C0C8B" w:rsidRDefault="001C0C8B" w:rsidP="00944D91">
            <w:pPr>
              <w:pStyle w:val="TableParagraph"/>
              <w:spacing w:line="185" w:lineRule="exact"/>
              <w:ind w:left="150" w:right="75"/>
              <w:jc w:val="center"/>
              <w:rPr>
                <w:sz w:val="21"/>
              </w:rPr>
            </w:pPr>
            <w:proofErr w:type="spellStart"/>
            <w:r>
              <w:rPr>
                <w:color w:val="1A1A1A"/>
                <w:sz w:val="21"/>
              </w:rPr>
              <w:t>Wentylator</w:t>
            </w:r>
            <w:proofErr w:type="spellEnd"/>
            <w:r>
              <w:rPr>
                <w:color w:val="1A1A1A"/>
                <w:spacing w:val="-4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dachowy</w:t>
            </w:r>
            <w:proofErr w:type="spellEnd"/>
            <w:r>
              <w:rPr>
                <w:color w:val="1A1A1A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wytłumiony</w:t>
            </w:r>
            <w:proofErr w:type="spellEnd"/>
            <w:r>
              <w:rPr>
                <w:color w:val="1A1A1A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akustycznie</w:t>
            </w:r>
            <w:proofErr w:type="spellEnd"/>
            <w:r>
              <w:rPr>
                <w:color w:val="1A1A1A"/>
                <w:sz w:val="21"/>
              </w:rPr>
              <w:t xml:space="preserve"> </w:t>
            </w:r>
            <w:proofErr w:type="spellStart"/>
            <w:r>
              <w:rPr>
                <w:color w:val="1A1A1A"/>
                <w:spacing w:val="-5"/>
                <w:sz w:val="21"/>
              </w:rPr>
              <w:t>na</w:t>
            </w:r>
            <w:proofErr w:type="spellEnd"/>
          </w:p>
          <w:p w14:paraId="7349E51B" w14:textId="77777777" w:rsidR="001C0C8B" w:rsidRDefault="001C0C8B" w:rsidP="00944D91">
            <w:pPr>
              <w:pStyle w:val="TableParagraph"/>
              <w:spacing w:before="40"/>
              <w:ind w:left="150" w:right="73"/>
              <w:jc w:val="center"/>
              <w:rPr>
                <w:sz w:val="21"/>
              </w:rPr>
            </w:pPr>
            <w:proofErr w:type="spellStart"/>
            <w:r>
              <w:rPr>
                <w:color w:val="1A1A1A"/>
                <w:sz w:val="21"/>
              </w:rPr>
              <w:t>podst</w:t>
            </w:r>
            <w:proofErr w:type="spellEnd"/>
            <w:r>
              <w:rPr>
                <w:color w:val="1A1A1A"/>
                <w:sz w:val="21"/>
              </w:rPr>
              <w:t>.</w:t>
            </w:r>
            <w:r>
              <w:rPr>
                <w:color w:val="1A1A1A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dach</w:t>
            </w:r>
            <w:proofErr w:type="spellEnd"/>
            <w:r>
              <w:rPr>
                <w:color w:val="1A1A1A"/>
                <w:sz w:val="21"/>
              </w:rPr>
              <w:t>.</w:t>
            </w:r>
            <w:r>
              <w:rPr>
                <w:color w:val="1A1A1A"/>
                <w:spacing w:val="-9"/>
                <w:sz w:val="21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1"/>
              </w:rPr>
              <w:t>tłumiącej</w:t>
            </w:r>
            <w:proofErr w:type="spellEnd"/>
          </w:p>
        </w:tc>
        <w:tc>
          <w:tcPr>
            <w:tcW w:w="2202" w:type="dxa"/>
          </w:tcPr>
          <w:p w14:paraId="74E72F39" w14:textId="77777777" w:rsidR="001C0C8B" w:rsidRDefault="001C0C8B" w:rsidP="00944D91">
            <w:pPr>
              <w:pStyle w:val="TableParagraph"/>
              <w:spacing w:before="116"/>
              <w:ind w:left="75"/>
              <w:jc w:val="center"/>
              <w:rPr>
                <w:sz w:val="21"/>
              </w:rPr>
            </w:pPr>
            <w:r>
              <w:rPr>
                <w:color w:val="1A1A1A"/>
                <w:w w:val="106"/>
                <w:sz w:val="21"/>
              </w:rPr>
              <w:t>5</w:t>
            </w:r>
          </w:p>
        </w:tc>
        <w:tc>
          <w:tcPr>
            <w:tcW w:w="2209" w:type="dxa"/>
          </w:tcPr>
          <w:p w14:paraId="640B85A1" w14:textId="77777777" w:rsidR="001C0C8B" w:rsidRDefault="001C0C8B" w:rsidP="00944D91">
            <w:pPr>
              <w:pStyle w:val="TableParagraph"/>
              <w:spacing w:before="131"/>
              <w:ind w:right="941"/>
              <w:jc w:val="right"/>
              <w:rPr>
                <w:sz w:val="21"/>
              </w:rPr>
            </w:pPr>
            <w:r>
              <w:rPr>
                <w:color w:val="1A1A1A"/>
                <w:spacing w:val="-5"/>
                <w:w w:val="105"/>
                <w:sz w:val="21"/>
              </w:rPr>
              <w:t>68</w:t>
            </w:r>
          </w:p>
        </w:tc>
      </w:tr>
      <w:tr w:rsidR="001C0C8B" w14:paraId="66A66B64" w14:textId="77777777" w:rsidTr="001C0C8B">
        <w:trPr>
          <w:trHeight w:val="265"/>
        </w:trPr>
        <w:tc>
          <w:tcPr>
            <w:tcW w:w="4701" w:type="dxa"/>
          </w:tcPr>
          <w:p w14:paraId="4344691C" w14:textId="77777777" w:rsidR="001C0C8B" w:rsidRDefault="001C0C8B" w:rsidP="00944D91">
            <w:pPr>
              <w:pStyle w:val="TableParagraph"/>
              <w:spacing w:line="170" w:lineRule="exact"/>
              <w:ind w:left="150" w:right="91"/>
              <w:jc w:val="center"/>
              <w:rPr>
                <w:sz w:val="21"/>
              </w:rPr>
            </w:pPr>
            <w:proofErr w:type="spellStart"/>
            <w:r>
              <w:rPr>
                <w:color w:val="1A1A1A"/>
                <w:sz w:val="21"/>
              </w:rPr>
              <w:t>Centrala</w:t>
            </w:r>
            <w:proofErr w:type="spellEnd"/>
            <w:r>
              <w:rPr>
                <w:color w:val="1A1A1A"/>
                <w:spacing w:val="-4"/>
                <w:sz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</w:rPr>
              <w:t>wentylacyjna</w:t>
            </w:r>
            <w:proofErr w:type="spellEnd"/>
            <w:r>
              <w:rPr>
                <w:color w:val="1A1A1A"/>
                <w:spacing w:val="7"/>
                <w:sz w:val="21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1"/>
              </w:rPr>
              <w:t>dachowa</w:t>
            </w:r>
            <w:proofErr w:type="spellEnd"/>
          </w:p>
        </w:tc>
        <w:tc>
          <w:tcPr>
            <w:tcW w:w="2202" w:type="dxa"/>
          </w:tcPr>
          <w:p w14:paraId="32814159" w14:textId="77777777" w:rsidR="001C0C8B" w:rsidRDefault="001C0C8B" w:rsidP="00944D91">
            <w:pPr>
              <w:pStyle w:val="TableParagraph"/>
              <w:spacing w:line="192" w:lineRule="exact"/>
              <w:ind w:left="60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2</w:t>
            </w:r>
          </w:p>
        </w:tc>
        <w:tc>
          <w:tcPr>
            <w:tcW w:w="2209" w:type="dxa"/>
          </w:tcPr>
          <w:p w14:paraId="23B4B592" w14:textId="77777777" w:rsidR="001C0C8B" w:rsidRDefault="001C0C8B" w:rsidP="00944D91">
            <w:pPr>
              <w:pStyle w:val="TableParagraph"/>
              <w:spacing w:line="221" w:lineRule="exact"/>
              <w:ind w:right="939"/>
              <w:jc w:val="right"/>
              <w:rPr>
                <w:sz w:val="21"/>
              </w:rPr>
            </w:pPr>
            <w:r>
              <w:rPr>
                <w:color w:val="1A1A1A"/>
                <w:spacing w:val="-5"/>
                <w:w w:val="105"/>
                <w:sz w:val="21"/>
              </w:rPr>
              <w:t>81</w:t>
            </w:r>
          </w:p>
        </w:tc>
      </w:tr>
      <w:tr w:rsidR="001C0C8B" w14:paraId="3C7DE336" w14:textId="77777777" w:rsidTr="001C0C8B">
        <w:trPr>
          <w:trHeight w:val="265"/>
        </w:trPr>
        <w:tc>
          <w:tcPr>
            <w:tcW w:w="4701" w:type="dxa"/>
            <w:tcBorders>
              <w:right w:val="single" w:sz="4" w:space="0" w:color="000000"/>
            </w:tcBorders>
          </w:tcPr>
          <w:p w14:paraId="1972D4DD" w14:textId="77777777" w:rsidR="001C0C8B" w:rsidRDefault="001C0C8B" w:rsidP="00944D91">
            <w:pPr>
              <w:pStyle w:val="TableParagraph"/>
              <w:spacing w:line="163" w:lineRule="exact"/>
              <w:ind w:left="1599" w:right="1545"/>
              <w:jc w:val="center"/>
              <w:rPr>
                <w:sz w:val="21"/>
              </w:rPr>
            </w:pPr>
            <w:proofErr w:type="spellStart"/>
            <w:r>
              <w:rPr>
                <w:color w:val="1A1A1A"/>
                <w:sz w:val="21"/>
              </w:rPr>
              <w:t>Agregat</w:t>
            </w:r>
            <w:proofErr w:type="spellEnd"/>
            <w:r>
              <w:rPr>
                <w:color w:val="1A1A1A"/>
                <w:spacing w:val="3"/>
                <w:sz w:val="21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1"/>
              </w:rPr>
              <w:t>skraplający</w:t>
            </w:r>
            <w:proofErr w:type="spellEnd"/>
          </w:p>
        </w:tc>
        <w:tc>
          <w:tcPr>
            <w:tcW w:w="2202" w:type="dxa"/>
            <w:tcBorders>
              <w:left w:val="single" w:sz="4" w:space="0" w:color="000000"/>
              <w:right w:val="single" w:sz="4" w:space="0" w:color="000000"/>
            </w:tcBorders>
          </w:tcPr>
          <w:p w14:paraId="655CED96" w14:textId="77777777" w:rsidR="001C0C8B" w:rsidRDefault="001C0C8B" w:rsidP="00944D91">
            <w:pPr>
              <w:pStyle w:val="TableParagraph"/>
              <w:spacing w:line="185" w:lineRule="exact"/>
              <w:ind w:left="56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6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9138263" w14:textId="77777777" w:rsidR="001C0C8B" w:rsidRDefault="001C0C8B" w:rsidP="00944D91">
            <w:pPr>
              <w:pStyle w:val="TableParagraph"/>
              <w:spacing w:line="214" w:lineRule="exact"/>
              <w:ind w:right="939"/>
              <w:jc w:val="right"/>
              <w:rPr>
                <w:sz w:val="21"/>
              </w:rPr>
            </w:pPr>
            <w:r>
              <w:rPr>
                <w:color w:val="1A1A1A"/>
                <w:spacing w:val="-5"/>
                <w:w w:val="105"/>
                <w:sz w:val="21"/>
              </w:rPr>
              <w:t>81</w:t>
            </w:r>
          </w:p>
        </w:tc>
      </w:tr>
    </w:tbl>
    <w:p w14:paraId="448260E3" w14:textId="77777777" w:rsidR="001C0C8B" w:rsidRDefault="001C0C8B" w:rsidP="001C0C8B">
      <w:pPr>
        <w:pStyle w:val="Tekstpodstawowywcity"/>
        <w:spacing w:line="240" w:lineRule="auto"/>
      </w:pPr>
    </w:p>
    <w:p w14:paraId="58CBCF3D" w14:textId="77777777" w:rsidR="001C0C8B" w:rsidRDefault="001C0C8B" w:rsidP="001C0C8B">
      <w:pPr>
        <w:pStyle w:val="Tekstpodstawowywcity"/>
        <w:spacing w:line="240" w:lineRule="auto"/>
        <w:ind w:firstLine="709"/>
      </w:pPr>
      <w:r>
        <w:t>Ponadto źródłem hałasu na terenie zakładu będą pojazdy ciężarowe oraz osobowe poruszające się po terenie.</w:t>
      </w:r>
    </w:p>
    <w:p w14:paraId="1DDA2AC8" w14:textId="77777777" w:rsidR="001C0C8B" w:rsidRDefault="001C0C8B" w:rsidP="001C0C8B">
      <w:pPr>
        <w:pStyle w:val="Tekstpodstawowywcity"/>
        <w:spacing w:line="240" w:lineRule="auto"/>
        <w:ind w:firstLine="709"/>
      </w:pPr>
      <w:r>
        <w:t>Przeprowadzona w kip analiza  oddziaływania  w zakresie emisji hałasu wykazała, że eksploatacja planowanego przedsięwzięcia nie spowoduje przekroczeń dopuszczalnych poziomów hałasu na terenach chronionych akustycznie.</w:t>
      </w:r>
    </w:p>
    <w:p w14:paraId="2EAE2978" w14:textId="6BAD87B8" w:rsidR="006F2A01" w:rsidRDefault="006F2A01" w:rsidP="00DD725F">
      <w:pPr>
        <w:jc w:val="both"/>
        <w:rPr>
          <w:lang w:eastAsia="pl-PL"/>
        </w:rPr>
      </w:pPr>
    </w:p>
    <w:p w14:paraId="7B3C9341" w14:textId="77777777" w:rsidR="00837793" w:rsidRPr="00DD725F" w:rsidRDefault="00837793" w:rsidP="00DD725F">
      <w:pPr>
        <w:jc w:val="both"/>
        <w:rPr>
          <w:b/>
        </w:rPr>
      </w:pPr>
    </w:p>
    <w:p w14:paraId="15AFABC8" w14:textId="581A22EE" w:rsidR="00D75228" w:rsidRPr="00753ABB" w:rsidRDefault="0023177C" w:rsidP="004947B0">
      <w:pPr>
        <w:jc w:val="both"/>
        <w:rPr>
          <w:b/>
        </w:rPr>
      </w:pPr>
      <w:r w:rsidRPr="00DD725F">
        <w:rPr>
          <w:b/>
        </w:rPr>
        <w:t>Emisja pyłów i gazów</w:t>
      </w:r>
    </w:p>
    <w:p w14:paraId="14D6688E" w14:textId="7876CFFC" w:rsidR="00C67044" w:rsidRDefault="00227531" w:rsidP="007B54BD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0115DE67" w14:textId="27151F4A" w:rsidR="00837793" w:rsidRDefault="009F1559" w:rsidP="009F1559">
      <w:pPr>
        <w:ind w:firstLine="708"/>
        <w:jc w:val="both"/>
      </w:pPr>
      <w:r w:rsidRPr="009F1559">
        <w:t>W  trakcie  realizacji  przedsięwzięcia będzie  występować  niewielkie  oddziaływanie na środowisko w zakresie emisji hałasu oraz substancji pyłowych i gazowych do powietrza.</w:t>
      </w:r>
    </w:p>
    <w:p w14:paraId="2D78E861" w14:textId="6E1966A9" w:rsidR="00F5572C" w:rsidRDefault="00F5572C" w:rsidP="00F5572C">
      <w:pPr>
        <w:pStyle w:val="Tekstpodstawowywcity"/>
        <w:spacing w:line="240" w:lineRule="auto"/>
        <w:ind w:firstLine="709"/>
      </w:pPr>
      <w:r>
        <w:t>Projektowane przedsięwzięcie będzie wiązało się z emisją zanieczyszczeń do powietrza atmosferycznego z tytułu wentylacji pomieszczeń do ładowania wózków akumulatorowych oraz z tytułu ruchu samochodowego po terenie przedsięwzięcia.</w:t>
      </w:r>
    </w:p>
    <w:p w14:paraId="12778B16" w14:textId="77777777" w:rsidR="00F5572C" w:rsidRDefault="00F5572C" w:rsidP="00F5572C">
      <w:pPr>
        <w:pStyle w:val="Tekstpodstawowywcity"/>
        <w:spacing w:line="240" w:lineRule="auto"/>
        <w:ind w:firstLine="709"/>
      </w:pPr>
      <w:r>
        <w:t>Inwestor przewiduje ładowanie akumulatorów w 1 miejscu ładowania akumulatorów kwasowych z możliwością jednoczesnego podłączenia 3 akumulatorów kwasowych do ładowania jednocześnie.</w:t>
      </w:r>
    </w:p>
    <w:p w14:paraId="54275E04" w14:textId="77777777" w:rsidR="00C44911" w:rsidRDefault="00C44911" w:rsidP="004947B0">
      <w:pPr>
        <w:jc w:val="both"/>
      </w:pPr>
    </w:p>
    <w:p w14:paraId="645F37C2" w14:textId="431F642A" w:rsidR="00890B19" w:rsidRPr="00F20851" w:rsidRDefault="007A6B17" w:rsidP="00F20851">
      <w:pPr>
        <w:jc w:val="both"/>
        <w:rPr>
          <w:b/>
        </w:rPr>
      </w:pPr>
      <w:r w:rsidRPr="00DD725F">
        <w:rPr>
          <w:b/>
        </w:rPr>
        <w:t>Emisja</w:t>
      </w:r>
      <w:r w:rsidR="0023177C" w:rsidRPr="00DD725F">
        <w:rPr>
          <w:b/>
        </w:rPr>
        <w:t xml:space="preserve"> ścieków bytowych i deszczowych</w:t>
      </w:r>
      <w:r w:rsidR="00890B19" w:rsidRPr="007878C3">
        <w:t xml:space="preserve"> </w:t>
      </w:r>
    </w:p>
    <w:p w14:paraId="2B5ECA49" w14:textId="3F01BF9A" w:rsidR="00C67044" w:rsidRDefault="00C67044" w:rsidP="00DD725F">
      <w:pPr>
        <w:jc w:val="both"/>
      </w:pPr>
    </w:p>
    <w:p w14:paraId="41205AE7" w14:textId="77360A24" w:rsidR="00837793" w:rsidRDefault="00F5572C" w:rsidP="00F5572C">
      <w:pPr>
        <w:ind w:firstLine="708"/>
        <w:jc w:val="both"/>
      </w:pPr>
      <w:r w:rsidRPr="00F5572C">
        <w:t>Na etapie funkcjonowania ścieki socjalno-bytowe należy odprowadzić do istniejącej sieci kanalizacji sanitarnej.</w:t>
      </w:r>
    </w:p>
    <w:p w14:paraId="653DC2F3" w14:textId="77777777" w:rsidR="00F5572C" w:rsidRDefault="00F5572C" w:rsidP="00F5572C">
      <w:pPr>
        <w:pStyle w:val="Tekstpodstawowywcity"/>
        <w:spacing w:line="240" w:lineRule="auto"/>
        <w:ind w:firstLine="709"/>
      </w:pPr>
      <w:r>
        <w:t>Na etapie funkcjonowania powstające ścieki bytowo-gospodarcze odprowadzane będą do istniejącej kanalizacji sanitarnej.</w:t>
      </w:r>
    </w:p>
    <w:p w14:paraId="0D6CE17C" w14:textId="77777777" w:rsidR="00F5572C" w:rsidRDefault="00F5572C" w:rsidP="00F5572C">
      <w:pPr>
        <w:pStyle w:val="Tekstpodstawowywcity"/>
        <w:spacing w:line="240" w:lineRule="auto"/>
        <w:ind w:firstLine="709"/>
      </w:pPr>
      <w:r>
        <w:t>W projektowanym obiekcie ze względu na specyfikę obiektu i jego charakter nie przewiduje się powstawania ścieków przemysłowych wynikających z procesu produkcji.</w:t>
      </w:r>
    </w:p>
    <w:p w14:paraId="3B624DF5" w14:textId="77777777" w:rsidR="00F5572C" w:rsidRDefault="00F5572C" w:rsidP="00DD725F">
      <w:pPr>
        <w:jc w:val="both"/>
      </w:pPr>
    </w:p>
    <w:p w14:paraId="2FA90325" w14:textId="77777777" w:rsidR="00837793" w:rsidRPr="00DD725F" w:rsidRDefault="00837793" w:rsidP="00DD725F">
      <w:pPr>
        <w:jc w:val="both"/>
      </w:pPr>
    </w:p>
    <w:p w14:paraId="2E36CD85" w14:textId="354C64E8" w:rsidR="008F33AD" w:rsidRPr="004564A2" w:rsidRDefault="0023177C" w:rsidP="00DD725F">
      <w:pPr>
        <w:jc w:val="both"/>
        <w:rPr>
          <w:b/>
        </w:rPr>
      </w:pPr>
      <w:r w:rsidRPr="00DD725F">
        <w:rPr>
          <w:b/>
        </w:rPr>
        <w:lastRenderedPageBreak/>
        <w:t>Emisja odpadów</w:t>
      </w:r>
    </w:p>
    <w:p w14:paraId="0D675FA5" w14:textId="63752BEB" w:rsidR="00570460" w:rsidRDefault="00570460" w:rsidP="00570460">
      <w:pPr>
        <w:pStyle w:val="Tekstpodstawowywcity"/>
        <w:spacing w:line="240" w:lineRule="auto"/>
        <w:ind w:firstLine="709"/>
      </w:pPr>
      <w:r>
        <w:t xml:space="preserve">Na etapie eksploatacji nowej hali prognozuje się wytwarzanie następujących rodzajów </w:t>
      </w:r>
      <w:r>
        <w:br/>
      </w:r>
      <w:r>
        <w:t xml:space="preserve">i ilości odpadów: 15 01 01 w ilości 50,0 Mg/rok,  15 01 02 w ilości 20,0 Mg/rok,  15 01 03 </w:t>
      </w:r>
      <w:r>
        <w:br/>
        <w:t xml:space="preserve">w ilości 2,0 Mg/rok, 15 01 04 w ilości 1,0 Mg/rok, 15 01 05 w ilości 2,0 Mg/rok, 15 01 07 </w:t>
      </w:r>
      <w:r>
        <w:br/>
        <w:t xml:space="preserve">w ilości 1,0 Mg/rok, 15 02 03 w ilości 0,2 Mg/rok, 16 02 14 w ilości 0,2 Mg/rok, 16 02 16 </w:t>
      </w:r>
      <w:r>
        <w:br/>
        <w:t xml:space="preserve">w ilości 0,3 Mg/rok, 16 80 01 w ilości 0,001 Mg/rok, 17 01 01 w ilości 3,0 Mg/rok, 17 01 02 </w:t>
      </w:r>
      <w:r>
        <w:br/>
      </w:r>
      <w:r>
        <w:t xml:space="preserve">w ilości 2,0 Mg/rok, 17 01 03 w ilości 0,05 Mg/rok, 17 02 02 w ilości 0,15 Mg/rok, 17 02 03 </w:t>
      </w:r>
      <w:r>
        <w:br/>
      </w:r>
      <w:r>
        <w:t xml:space="preserve">w ilości 0,1 Mg/rok, 17 04 11 w ilości 0,002 Mg/rok, 20 01 08 w ilości 1,2 Mg/rok, 20 02 01 </w:t>
      </w:r>
      <w:r>
        <w:br/>
      </w:r>
      <w:r>
        <w:t xml:space="preserve">w ilości 14,05 Mg/rok, 13 02 08* w ilości 0,05 Mg/rok, 15 01 10* w ilości 0,1 Mg/rok, 15 02 02* w ilości 0,2 Mg/rok, 16 02 11* w ilości ok. 0,1 Mg/rok, 16 02 13* w ilości 0,005 Mg/rok, 16 02 15* w ilości 0,25 Mg/rok, 16 05 06* w ilości 0,05 Mg/rok, 16 06 01* w ilości 0,2 Mg/rok. Odpady będą magazynowane selektywnie w oddzielnych pojemnikach, </w:t>
      </w:r>
      <w:r>
        <w:br/>
        <w:t xml:space="preserve">w wyznaczonych do tego celu miejscu na terenie zakładu. Magazynowanie odbywać się będzie </w:t>
      </w:r>
      <w:r>
        <w:br/>
      </w:r>
      <w:r>
        <w:t>w sposób uniemożliwiający ich negatywne oddziaływanie na środowisko, wpływ warunków atmosferycznych oraz dostęp osób postronnych. Wszystkie odpady będą przekazywane odbiorcom posiadającym zezwolenie na prowadzenie działalności w zakresie zbierania, transportu, odzysku lub unieszkodliwiania odpadów.</w:t>
      </w:r>
    </w:p>
    <w:p w14:paraId="7792587A" w14:textId="77777777" w:rsidR="00F5572C" w:rsidRDefault="00F5572C" w:rsidP="00DD725F">
      <w:pPr>
        <w:jc w:val="both"/>
      </w:pPr>
    </w:p>
    <w:p w14:paraId="1B1AA46B" w14:textId="77777777" w:rsidR="00837793" w:rsidRPr="00DD725F" w:rsidRDefault="00837793" w:rsidP="00DD725F">
      <w:pPr>
        <w:jc w:val="both"/>
      </w:pPr>
    </w:p>
    <w:p w14:paraId="175A66BE" w14:textId="008FF237" w:rsidR="009D7951" w:rsidRPr="00374B62" w:rsidRDefault="007A6B17" w:rsidP="00886A4B">
      <w:pPr>
        <w:jc w:val="both"/>
        <w:rPr>
          <w:b/>
        </w:rPr>
      </w:pPr>
      <w:r w:rsidRPr="00DD725F">
        <w:rPr>
          <w:b/>
        </w:rPr>
        <w:t>Oddziaływania na obszary chronione</w:t>
      </w:r>
    </w:p>
    <w:p w14:paraId="1A618D8C" w14:textId="2122CFFB" w:rsidR="00570460" w:rsidRDefault="00570460" w:rsidP="00570460">
      <w:pPr>
        <w:pStyle w:val="Tekstpodstawowywcity"/>
        <w:spacing w:line="240" w:lineRule="auto"/>
        <w:ind w:firstLine="709"/>
      </w:pPr>
      <w:r>
        <w:t xml:space="preserve">Planowane do realizacji przedsięwzięcie znajduje się poza formami ochrony przyrody, </w:t>
      </w:r>
      <w:r>
        <w:br/>
      </w:r>
      <w:r>
        <w:t>o których mowa w ustawie z dnia 16 kwietnia 2004 r. o ochronie przyrody (Dz. U. z 2022 r. poz. 916 ze zm.). Najbliżej położonymi względem inwestycji obszarowymi formami ochrony przyrody są Zespół Przyrodniczo-Krajobrazowy Międzyrzecze Neru i Dobrzynki w odległości ok. 2,63 km, rezerwat przyrody Polesie Konstantynowskie w odległości ok. 4,11 km.</w:t>
      </w:r>
    </w:p>
    <w:p w14:paraId="2B7FE28B" w14:textId="77777777" w:rsidR="00570460" w:rsidRDefault="00570460" w:rsidP="00570460">
      <w:pPr>
        <w:pStyle w:val="Tekstpodstawowywcity"/>
        <w:spacing w:line="240" w:lineRule="auto"/>
        <w:ind w:firstLine="709"/>
      </w:pPr>
      <w:r>
        <w:t>Najbliżej położonym obszarem należącym do sieci Natura 2000 jest specjalny obszar ochrony siedlisk Grądy nad Lindą PLH100022 w odległości ok. 14,20 km. Przedmiotowe przedsięwzięcie znajduje się poza· obszarami korytarzy ekologicznych o znaczeniu krajowym i/lub międzynarodowym.</w:t>
      </w:r>
    </w:p>
    <w:p w14:paraId="4E38D1DE" w14:textId="01EA6C2D" w:rsidR="00CD580F" w:rsidRDefault="00CD580F" w:rsidP="00753ABB">
      <w:pPr>
        <w:pStyle w:val="Tekstpodstawowywcity"/>
        <w:spacing w:line="240" w:lineRule="auto"/>
        <w:ind w:firstLine="709"/>
      </w:pPr>
    </w:p>
    <w:p w14:paraId="1944A3A3" w14:textId="77777777" w:rsidR="00837793" w:rsidRPr="00753ABB" w:rsidRDefault="00837793" w:rsidP="00753ABB">
      <w:pPr>
        <w:pStyle w:val="Tekstpodstawowywcity"/>
        <w:spacing w:line="240" w:lineRule="auto"/>
        <w:ind w:firstLine="709"/>
      </w:pPr>
    </w:p>
    <w:sectPr w:rsidR="00837793" w:rsidRPr="00753ABB">
      <w:footerReference w:type="default" r:id="rId8"/>
      <w:pgSz w:w="12240" w:h="15840"/>
      <w:pgMar w:top="1417" w:right="1417" w:bottom="1276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26E1" w14:textId="77777777" w:rsidR="0029023F" w:rsidRDefault="0029023F">
      <w:r>
        <w:separator/>
      </w:r>
    </w:p>
  </w:endnote>
  <w:endnote w:type="continuationSeparator" w:id="0">
    <w:p w14:paraId="005D20E8" w14:textId="77777777" w:rsidR="0029023F" w:rsidRDefault="0029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Cambria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5290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18476D" w14:textId="77777777" w:rsidR="0029023F" w:rsidRDefault="0029023F">
            <w:pPr>
              <w:pStyle w:val="Stopka"/>
              <w:jc w:val="center"/>
            </w:pPr>
            <w:r w:rsidRPr="00C9408D">
              <w:t xml:space="preserve">Strona </w:t>
            </w:r>
            <w:r w:rsidRPr="00C9408D">
              <w:rPr>
                <w:bCs/>
              </w:rPr>
              <w:fldChar w:fldCharType="begin"/>
            </w:r>
            <w:r w:rsidRPr="00C9408D">
              <w:rPr>
                <w:bCs/>
              </w:rPr>
              <w:instrText>PAGE</w:instrText>
            </w:r>
            <w:r w:rsidRPr="00C9408D">
              <w:rPr>
                <w:bCs/>
              </w:rPr>
              <w:fldChar w:fldCharType="separate"/>
            </w:r>
            <w:r w:rsidR="00591E10">
              <w:rPr>
                <w:bCs/>
                <w:noProof/>
              </w:rPr>
              <w:t>1</w:t>
            </w:r>
            <w:r w:rsidRPr="00C9408D">
              <w:rPr>
                <w:bCs/>
              </w:rPr>
              <w:fldChar w:fldCharType="end"/>
            </w:r>
            <w:r w:rsidRPr="00C9408D">
              <w:t xml:space="preserve"> z </w:t>
            </w:r>
            <w:r w:rsidRPr="00C9408D">
              <w:rPr>
                <w:bCs/>
              </w:rPr>
              <w:fldChar w:fldCharType="begin"/>
            </w:r>
            <w:r w:rsidRPr="00C9408D">
              <w:rPr>
                <w:bCs/>
              </w:rPr>
              <w:instrText>NUMPAGES</w:instrText>
            </w:r>
            <w:r w:rsidRPr="00C9408D">
              <w:rPr>
                <w:bCs/>
              </w:rPr>
              <w:fldChar w:fldCharType="separate"/>
            </w:r>
            <w:r w:rsidR="00591E10">
              <w:rPr>
                <w:bCs/>
                <w:noProof/>
              </w:rPr>
              <w:t>5</w:t>
            </w:r>
            <w:r w:rsidRPr="00C9408D">
              <w:rPr>
                <w:bCs/>
              </w:rPr>
              <w:fldChar w:fldCharType="end"/>
            </w:r>
          </w:p>
        </w:sdtContent>
      </w:sdt>
    </w:sdtContent>
  </w:sdt>
  <w:p w14:paraId="6E79038F" w14:textId="77777777" w:rsidR="0029023F" w:rsidRDefault="00290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008C" w14:textId="77777777" w:rsidR="0029023F" w:rsidRDefault="0029023F">
      <w:r>
        <w:separator/>
      </w:r>
    </w:p>
  </w:footnote>
  <w:footnote w:type="continuationSeparator" w:id="0">
    <w:p w14:paraId="330B76FC" w14:textId="77777777" w:rsidR="0029023F" w:rsidRDefault="0029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7C40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―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sz w:val="24"/>
        <w:szCs w:val="24"/>
      </w:rPr>
    </w:lvl>
  </w:abstractNum>
  <w:abstractNum w:abstractNumId="3" w15:restartNumberingAfterBreak="0">
    <w:nsid w:val="06AF22B2"/>
    <w:multiLevelType w:val="hybridMultilevel"/>
    <w:tmpl w:val="DE089D9A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E23ED6"/>
    <w:multiLevelType w:val="hybridMultilevel"/>
    <w:tmpl w:val="A8A8CE10"/>
    <w:lvl w:ilvl="0" w:tplc="4AA4D796">
      <w:start w:val="1"/>
      <w:numFmt w:val="bullet"/>
      <w:lvlText w:val=""/>
      <w:lvlJc w:val="left"/>
      <w:pPr>
        <w:ind w:left="-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5" w15:restartNumberingAfterBreak="0">
    <w:nsid w:val="15022AF8"/>
    <w:multiLevelType w:val="hybridMultilevel"/>
    <w:tmpl w:val="698699DA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148F2"/>
    <w:multiLevelType w:val="hybridMultilevel"/>
    <w:tmpl w:val="8388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E0C99"/>
    <w:multiLevelType w:val="hybridMultilevel"/>
    <w:tmpl w:val="1084E91E"/>
    <w:lvl w:ilvl="0" w:tplc="646AA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66ED4"/>
    <w:multiLevelType w:val="hybridMultilevel"/>
    <w:tmpl w:val="15AA8A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8F165F"/>
    <w:multiLevelType w:val="hybridMultilevel"/>
    <w:tmpl w:val="BDB2CC22"/>
    <w:lvl w:ilvl="0" w:tplc="3434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00797"/>
    <w:multiLevelType w:val="hybridMultilevel"/>
    <w:tmpl w:val="DD882CA0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466647"/>
    <w:multiLevelType w:val="hybridMultilevel"/>
    <w:tmpl w:val="E73C91FA"/>
    <w:lvl w:ilvl="0" w:tplc="646AA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853CE"/>
    <w:multiLevelType w:val="hybridMultilevel"/>
    <w:tmpl w:val="8B8277C0"/>
    <w:lvl w:ilvl="0" w:tplc="19B0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868F9"/>
    <w:multiLevelType w:val="hybridMultilevel"/>
    <w:tmpl w:val="B6243BFE"/>
    <w:lvl w:ilvl="0" w:tplc="EDC8A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77B78"/>
    <w:multiLevelType w:val="hybridMultilevel"/>
    <w:tmpl w:val="0444E89C"/>
    <w:lvl w:ilvl="0" w:tplc="0BAAE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B104C"/>
    <w:multiLevelType w:val="hybridMultilevel"/>
    <w:tmpl w:val="B726D6E8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3644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BF4A3B"/>
    <w:multiLevelType w:val="hybridMultilevel"/>
    <w:tmpl w:val="EA94DDD8"/>
    <w:lvl w:ilvl="0" w:tplc="FC3644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C8570B"/>
    <w:multiLevelType w:val="hybridMultilevel"/>
    <w:tmpl w:val="339C70C0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2764B1"/>
    <w:multiLevelType w:val="hybridMultilevel"/>
    <w:tmpl w:val="47700CAC"/>
    <w:lvl w:ilvl="0" w:tplc="E364316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491DDF"/>
    <w:multiLevelType w:val="hybridMultilevel"/>
    <w:tmpl w:val="6A3AD3F0"/>
    <w:lvl w:ilvl="0" w:tplc="646AA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3511B"/>
    <w:multiLevelType w:val="hybridMultilevel"/>
    <w:tmpl w:val="93966C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F931A2"/>
    <w:multiLevelType w:val="hybridMultilevel"/>
    <w:tmpl w:val="A12C8E8A"/>
    <w:lvl w:ilvl="0" w:tplc="646AA0F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F31720C"/>
    <w:multiLevelType w:val="hybridMultilevel"/>
    <w:tmpl w:val="F410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165123">
    <w:abstractNumId w:val="12"/>
  </w:num>
  <w:num w:numId="2" w16cid:durableId="95102983">
    <w:abstractNumId w:val="15"/>
  </w:num>
  <w:num w:numId="3" w16cid:durableId="1976718904">
    <w:abstractNumId w:val="16"/>
  </w:num>
  <w:num w:numId="4" w16cid:durableId="961115597">
    <w:abstractNumId w:val="17"/>
  </w:num>
  <w:num w:numId="5" w16cid:durableId="1594514120">
    <w:abstractNumId w:val="20"/>
  </w:num>
  <w:num w:numId="6" w16cid:durableId="643656332">
    <w:abstractNumId w:val="10"/>
  </w:num>
  <w:num w:numId="7" w16cid:durableId="1192256793">
    <w:abstractNumId w:val="5"/>
  </w:num>
  <w:num w:numId="8" w16cid:durableId="843009801">
    <w:abstractNumId w:val="18"/>
  </w:num>
  <w:num w:numId="9" w16cid:durableId="1692607885">
    <w:abstractNumId w:val="22"/>
  </w:num>
  <w:num w:numId="10" w16cid:durableId="1612281444">
    <w:abstractNumId w:val="4"/>
  </w:num>
  <w:num w:numId="11" w16cid:durableId="1434013818">
    <w:abstractNumId w:val="14"/>
  </w:num>
  <w:num w:numId="12" w16cid:durableId="200174535">
    <w:abstractNumId w:val="9"/>
  </w:num>
  <w:num w:numId="13" w16cid:durableId="951089063">
    <w:abstractNumId w:val="13"/>
  </w:num>
  <w:num w:numId="14" w16cid:durableId="133643800">
    <w:abstractNumId w:val="0"/>
  </w:num>
  <w:num w:numId="15" w16cid:durableId="1843740408">
    <w:abstractNumId w:val="1"/>
  </w:num>
  <w:num w:numId="16" w16cid:durableId="1178303355">
    <w:abstractNumId w:val="2"/>
  </w:num>
  <w:num w:numId="17" w16cid:durableId="1906717037">
    <w:abstractNumId w:val="8"/>
  </w:num>
  <w:num w:numId="18" w16cid:durableId="1870141744">
    <w:abstractNumId w:val="11"/>
  </w:num>
  <w:num w:numId="19" w16cid:durableId="1980063300">
    <w:abstractNumId w:val="7"/>
  </w:num>
  <w:num w:numId="20" w16cid:durableId="789864240">
    <w:abstractNumId w:val="19"/>
  </w:num>
  <w:num w:numId="21" w16cid:durableId="373621258">
    <w:abstractNumId w:val="21"/>
  </w:num>
  <w:num w:numId="22" w16cid:durableId="1065030031">
    <w:abstractNumId w:val="6"/>
  </w:num>
  <w:num w:numId="23" w16cid:durableId="14076098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80F"/>
    <w:rsid w:val="00007DBB"/>
    <w:rsid w:val="00010E17"/>
    <w:rsid w:val="00020F17"/>
    <w:rsid w:val="0002294F"/>
    <w:rsid w:val="00023EF9"/>
    <w:rsid w:val="00023F98"/>
    <w:rsid w:val="0002641D"/>
    <w:rsid w:val="00045950"/>
    <w:rsid w:val="00046958"/>
    <w:rsid w:val="00050CD8"/>
    <w:rsid w:val="00055501"/>
    <w:rsid w:val="00072C45"/>
    <w:rsid w:val="0008611F"/>
    <w:rsid w:val="000A190E"/>
    <w:rsid w:val="000B7DD6"/>
    <w:rsid w:val="000D50EE"/>
    <w:rsid w:val="000E1ADC"/>
    <w:rsid w:val="000E47AA"/>
    <w:rsid w:val="00100090"/>
    <w:rsid w:val="00107CF1"/>
    <w:rsid w:val="00120C97"/>
    <w:rsid w:val="00133E5F"/>
    <w:rsid w:val="00143BD0"/>
    <w:rsid w:val="00144D3D"/>
    <w:rsid w:val="001748CC"/>
    <w:rsid w:val="00197AAF"/>
    <w:rsid w:val="00197FDB"/>
    <w:rsid w:val="001A7CC7"/>
    <w:rsid w:val="001C0C8B"/>
    <w:rsid w:val="001D6E77"/>
    <w:rsid w:val="002129B4"/>
    <w:rsid w:val="0021655A"/>
    <w:rsid w:val="0022527F"/>
    <w:rsid w:val="00227531"/>
    <w:rsid w:val="0023177C"/>
    <w:rsid w:val="00250208"/>
    <w:rsid w:val="0025747B"/>
    <w:rsid w:val="002727D2"/>
    <w:rsid w:val="0029023F"/>
    <w:rsid w:val="00294203"/>
    <w:rsid w:val="002B6CA2"/>
    <w:rsid w:val="002D1CC9"/>
    <w:rsid w:val="002E1ACF"/>
    <w:rsid w:val="0030348B"/>
    <w:rsid w:val="00313A1B"/>
    <w:rsid w:val="0031733D"/>
    <w:rsid w:val="00322A55"/>
    <w:rsid w:val="00343280"/>
    <w:rsid w:val="00354DC0"/>
    <w:rsid w:val="00355D29"/>
    <w:rsid w:val="00374B62"/>
    <w:rsid w:val="003A0EA4"/>
    <w:rsid w:val="003A34AF"/>
    <w:rsid w:val="003B4246"/>
    <w:rsid w:val="003D0F73"/>
    <w:rsid w:val="003E46DD"/>
    <w:rsid w:val="003E4EFA"/>
    <w:rsid w:val="003F6F43"/>
    <w:rsid w:val="00400585"/>
    <w:rsid w:val="00422B34"/>
    <w:rsid w:val="00433F8C"/>
    <w:rsid w:val="00452A9D"/>
    <w:rsid w:val="004564A2"/>
    <w:rsid w:val="004569ED"/>
    <w:rsid w:val="00466E86"/>
    <w:rsid w:val="00474AFC"/>
    <w:rsid w:val="004947B0"/>
    <w:rsid w:val="004A395C"/>
    <w:rsid w:val="004B0B5F"/>
    <w:rsid w:val="004C4A17"/>
    <w:rsid w:val="004D580A"/>
    <w:rsid w:val="004F3DD1"/>
    <w:rsid w:val="004F632C"/>
    <w:rsid w:val="005025C2"/>
    <w:rsid w:val="00513189"/>
    <w:rsid w:val="005140B4"/>
    <w:rsid w:val="00523C4D"/>
    <w:rsid w:val="00557FB3"/>
    <w:rsid w:val="00567CD3"/>
    <w:rsid w:val="00570460"/>
    <w:rsid w:val="00577272"/>
    <w:rsid w:val="00586C6C"/>
    <w:rsid w:val="00591E10"/>
    <w:rsid w:val="00595ADB"/>
    <w:rsid w:val="005B4E9D"/>
    <w:rsid w:val="005B5485"/>
    <w:rsid w:val="005C1DB5"/>
    <w:rsid w:val="00611C9C"/>
    <w:rsid w:val="00630B9D"/>
    <w:rsid w:val="00660685"/>
    <w:rsid w:val="00671829"/>
    <w:rsid w:val="006917A3"/>
    <w:rsid w:val="006960F5"/>
    <w:rsid w:val="00696675"/>
    <w:rsid w:val="006A38FB"/>
    <w:rsid w:val="006A6EB3"/>
    <w:rsid w:val="006C2F10"/>
    <w:rsid w:val="006C2FE6"/>
    <w:rsid w:val="006C6CF4"/>
    <w:rsid w:val="006D03AC"/>
    <w:rsid w:val="006D0D6F"/>
    <w:rsid w:val="006D2535"/>
    <w:rsid w:val="006E45B3"/>
    <w:rsid w:val="006F2A01"/>
    <w:rsid w:val="00711F34"/>
    <w:rsid w:val="00712B47"/>
    <w:rsid w:val="00720394"/>
    <w:rsid w:val="007237E7"/>
    <w:rsid w:val="00724F28"/>
    <w:rsid w:val="00725F64"/>
    <w:rsid w:val="00741F03"/>
    <w:rsid w:val="00753ABB"/>
    <w:rsid w:val="007605F5"/>
    <w:rsid w:val="007614B7"/>
    <w:rsid w:val="00764C95"/>
    <w:rsid w:val="00765721"/>
    <w:rsid w:val="0078009B"/>
    <w:rsid w:val="007844E6"/>
    <w:rsid w:val="00784E42"/>
    <w:rsid w:val="00796469"/>
    <w:rsid w:val="007A2C9C"/>
    <w:rsid w:val="007A6B17"/>
    <w:rsid w:val="007B54BD"/>
    <w:rsid w:val="007B7EC6"/>
    <w:rsid w:val="007D3B14"/>
    <w:rsid w:val="007E53BE"/>
    <w:rsid w:val="008004A3"/>
    <w:rsid w:val="00810B64"/>
    <w:rsid w:val="00823DCC"/>
    <w:rsid w:val="00823F71"/>
    <w:rsid w:val="00837793"/>
    <w:rsid w:val="00855C8B"/>
    <w:rsid w:val="00863A1A"/>
    <w:rsid w:val="00874AC8"/>
    <w:rsid w:val="00876785"/>
    <w:rsid w:val="008843BA"/>
    <w:rsid w:val="00886A4B"/>
    <w:rsid w:val="00890B19"/>
    <w:rsid w:val="00896C63"/>
    <w:rsid w:val="008A1AD4"/>
    <w:rsid w:val="008B4C34"/>
    <w:rsid w:val="008C1C75"/>
    <w:rsid w:val="008C7CE2"/>
    <w:rsid w:val="008D417D"/>
    <w:rsid w:val="008E19A7"/>
    <w:rsid w:val="008E3891"/>
    <w:rsid w:val="008E4C7F"/>
    <w:rsid w:val="008F33AD"/>
    <w:rsid w:val="009006F0"/>
    <w:rsid w:val="009107FB"/>
    <w:rsid w:val="00927DAA"/>
    <w:rsid w:val="00946E5C"/>
    <w:rsid w:val="00952962"/>
    <w:rsid w:val="00955628"/>
    <w:rsid w:val="00977EB1"/>
    <w:rsid w:val="009834B8"/>
    <w:rsid w:val="009D3664"/>
    <w:rsid w:val="009D7951"/>
    <w:rsid w:val="009F06BE"/>
    <w:rsid w:val="009F1559"/>
    <w:rsid w:val="009F625B"/>
    <w:rsid w:val="00A006DC"/>
    <w:rsid w:val="00A402E5"/>
    <w:rsid w:val="00A46125"/>
    <w:rsid w:val="00A477E7"/>
    <w:rsid w:val="00A66D42"/>
    <w:rsid w:val="00A70D65"/>
    <w:rsid w:val="00A81575"/>
    <w:rsid w:val="00A91820"/>
    <w:rsid w:val="00A91E5D"/>
    <w:rsid w:val="00A97376"/>
    <w:rsid w:val="00AA04C4"/>
    <w:rsid w:val="00AA7DA6"/>
    <w:rsid w:val="00AC33F9"/>
    <w:rsid w:val="00AC4AF2"/>
    <w:rsid w:val="00AE1A61"/>
    <w:rsid w:val="00B130B3"/>
    <w:rsid w:val="00B30ECF"/>
    <w:rsid w:val="00B36E42"/>
    <w:rsid w:val="00B428A1"/>
    <w:rsid w:val="00B82537"/>
    <w:rsid w:val="00B90972"/>
    <w:rsid w:val="00B95855"/>
    <w:rsid w:val="00BB0241"/>
    <w:rsid w:val="00BD66D4"/>
    <w:rsid w:val="00BD7F9F"/>
    <w:rsid w:val="00BF602E"/>
    <w:rsid w:val="00C06391"/>
    <w:rsid w:val="00C32E15"/>
    <w:rsid w:val="00C44911"/>
    <w:rsid w:val="00C67044"/>
    <w:rsid w:val="00C85609"/>
    <w:rsid w:val="00C936E5"/>
    <w:rsid w:val="00C93DA0"/>
    <w:rsid w:val="00C9408D"/>
    <w:rsid w:val="00CA171C"/>
    <w:rsid w:val="00CA2D93"/>
    <w:rsid w:val="00CA74C7"/>
    <w:rsid w:val="00CB36B3"/>
    <w:rsid w:val="00CC1538"/>
    <w:rsid w:val="00CD580F"/>
    <w:rsid w:val="00CF779F"/>
    <w:rsid w:val="00D00507"/>
    <w:rsid w:val="00D229C9"/>
    <w:rsid w:val="00D23D2D"/>
    <w:rsid w:val="00D316AE"/>
    <w:rsid w:val="00D42A0E"/>
    <w:rsid w:val="00D60326"/>
    <w:rsid w:val="00D70D78"/>
    <w:rsid w:val="00D720B6"/>
    <w:rsid w:val="00D75228"/>
    <w:rsid w:val="00D876B9"/>
    <w:rsid w:val="00DC4673"/>
    <w:rsid w:val="00DD725F"/>
    <w:rsid w:val="00DE795C"/>
    <w:rsid w:val="00E0456F"/>
    <w:rsid w:val="00E118CB"/>
    <w:rsid w:val="00E53690"/>
    <w:rsid w:val="00E6745F"/>
    <w:rsid w:val="00E70BF7"/>
    <w:rsid w:val="00EA09D8"/>
    <w:rsid w:val="00EF449B"/>
    <w:rsid w:val="00F17BBF"/>
    <w:rsid w:val="00F20851"/>
    <w:rsid w:val="00F5572C"/>
    <w:rsid w:val="00F62694"/>
    <w:rsid w:val="00F62B0E"/>
    <w:rsid w:val="00F63AD5"/>
    <w:rsid w:val="00F725A1"/>
    <w:rsid w:val="00F73566"/>
    <w:rsid w:val="00F92C69"/>
    <w:rsid w:val="00FA0B78"/>
    <w:rsid w:val="00FA1FFA"/>
    <w:rsid w:val="00FA74D2"/>
    <w:rsid w:val="00FB71B8"/>
    <w:rsid w:val="00FC44AD"/>
    <w:rsid w:val="00FC66C8"/>
    <w:rsid w:val="00FD7DE2"/>
    <w:rsid w:val="00FE319E"/>
    <w:rsid w:val="00FE750D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BF40"/>
  <w15:docId w15:val="{7DAC88BD-BBDE-4EE8-8062-CEB7040A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81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AC7281"/>
    <w:pPr>
      <w:keepNext/>
      <w:tabs>
        <w:tab w:val="num" w:pos="426"/>
      </w:tabs>
      <w:ind w:left="426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qFormat/>
    <w:rsid w:val="00AC7281"/>
    <w:pPr>
      <w:keepNext/>
      <w:tabs>
        <w:tab w:val="num" w:pos="426"/>
      </w:tabs>
      <w:spacing w:line="360" w:lineRule="auto"/>
      <w:ind w:left="426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tarSymbol"/>
      <w:sz w:val="18"/>
      <w:szCs w:val="18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Open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AC7281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unhideWhenUsed/>
    <w:rsid w:val="00AC728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1"/>
    <w:semiHidden/>
    <w:rsid w:val="003A0EA4"/>
    <w:pPr>
      <w:spacing w:line="360" w:lineRule="auto"/>
      <w:ind w:firstLine="708"/>
      <w:jc w:val="both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3A0EA4"/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aliases w:val="Eko punkty,podpunkt,BulletC,Obiekt,List Paragraph1,List Paragraph,Akapit z listą1,Numerowanie,L1,NOWY,Kolorowa lista — akcent 11,Wypunktowanie,Akapit z listą11,Akapit z listą3,normalny,Normal,Wyliczanie,Akapit z listą31,Bullets,AS"/>
    <w:basedOn w:val="Normalny"/>
    <w:link w:val="AkapitzlistZnak"/>
    <w:uiPriority w:val="34"/>
    <w:qFormat/>
    <w:rsid w:val="003A0E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qFormat/>
    <w:rsid w:val="00A461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AF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AkapitzlistZnak">
    <w:name w:val="Akapit z listą Znak"/>
    <w:aliases w:val="Eko punkty Znak,podpunkt Znak,BulletC Znak,Obiekt Znak,List Paragraph1 Znak,List Paragraph Znak,Akapit z listą1 Znak,Numerowanie Znak,L1 Znak,NOWY Znak,Kolorowa lista — akcent 11 Znak,Wypunktowanie Znak,Akapit z listą11 Znak,AS Znak"/>
    <w:link w:val="Akapitzlist"/>
    <w:uiPriority w:val="34"/>
    <w:qFormat/>
    <w:locked/>
    <w:rsid w:val="009D3664"/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B9097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I No Spacing,TYTUŁY"/>
    <w:link w:val="BezodstpwZnak"/>
    <w:uiPriority w:val="1"/>
    <w:qFormat/>
    <w:rsid w:val="00143BD0"/>
    <w:rPr>
      <w:sz w:val="22"/>
    </w:rPr>
  </w:style>
  <w:style w:type="paragraph" w:styleId="NormalnyWeb">
    <w:name w:val="Normal (Web)"/>
    <w:basedOn w:val="Normalny"/>
    <w:unhideWhenUsed/>
    <w:rsid w:val="00896C63"/>
    <w:pPr>
      <w:suppressAutoHyphens w:val="0"/>
      <w:spacing w:before="100" w:beforeAutospacing="1" w:after="119"/>
    </w:pPr>
    <w:rPr>
      <w:color w:val="auto"/>
      <w:lang w:eastAsia="pl-PL"/>
    </w:rPr>
  </w:style>
  <w:style w:type="character" w:customStyle="1" w:styleId="FontStyle114">
    <w:name w:val="Font Style114"/>
    <w:rsid w:val="00D75228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BezodstpwZnak">
    <w:name w:val="Bez odstępów Znak"/>
    <w:aliases w:val="NI No Spacing Znak,TYTUŁY Znak"/>
    <w:link w:val="Bezodstpw"/>
    <w:uiPriority w:val="1"/>
    <w:rsid w:val="0002294F"/>
    <w:rPr>
      <w:sz w:val="22"/>
    </w:rPr>
  </w:style>
  <w:style w:type="table" w:customStyle="1" w:styleId="TableNormal">
    <w:name w:val="Table Normal"/>
    <w:uiPriority w:val="2"/>
    <w:semiHidden/>
    <w:unhideWhenUsed/>
    <w:qFormat/>
    <w:rsid w:val="001C0C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C0C8B"/>
    <w:pPr>
      <w:widowControl w:val="0"/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A912-615F-490B-8603-74872DEE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1410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Wincenty Kołacz</dc:creator>
  <cp:lastModifiedBy>Wincenty Kołacz - UM w Konstantynowie Łódzkim</cp:lastModifiedBy>
  <cp:revision>315</cp:revision>
  <cp:lastPrinted>2023-01-12T08:47:00Z</cp:lastPrinted>
  <dcterms:created xsi:type="dcterms:W3CDTF">2016-03-23T14:37:00Z</dcterms:created>
  <dcterms:modified xsi:type="dcterms:W3CDTF">2023-02-09T09:22:00Z</dcterms:modified>
  <dc:language>pl-PL</dc:language>
</cp:coreProperties>
</file>